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C19D1" w14:textId="0DC0D03E" w:rsidR="00F12C76" w:rsidRPr="0091281E" w:rsidRDefault="00A801EB" w:rsidP="00A801EB">
      <w:pPr>
        <w:spacing w:after="0"/>
        <w:jc w:val="center"/>
        <w:rPr>
          <w:rFonts w:ascii="Roboto" w:hAnsi="Roboto"/>
          <w:b/>
          <w:bCs/>
          <w:sz w:val="24"/>
          <w:szCs w:val="24"/>
          <w:lang w:val="ro-MD"/>
        </w:rPr>
      </w:pPr>
      <w:r w:rsidRPr="0091281E">
        <w:rPr>
          <w:rFonts w:ascii="Roboto" w:hAnsi="Roboto"/>
          <w:b/>
          <w:bCs/>
          <w:sz w:val="24"/>
          <w:szCs w:val="24"/>
          <w:lang w:val="ro-MD"/>
        </w:rPr>
        <w:t>Tabel de concordanță</w:t>
      </w: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562"/>
        <w:gridCol w:w="14175"/>
      </w:tblGrid>
      <w:tr w:rsidR="00A801EB" w:rsidRPr="0091281E" w14:paraId="586C1AD6" w14:textId="77777777" w:rsidTr="00377A70">
        <w:tc>
          <w:tcPr>
            <w:tcW w:w="562" w:type="dxa"/>
          </w:tcPr>
          <w:p w14:paraId="16274C12" w14:textId="22180DAA" w:rsidR="00A801EB" w:rsidRPr="0091281E" w:rsidRDefault="00A801EB" w:rsidP="00A801EB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1</w:t>
            </w:r>
          </w:p>
        </w:tc>
        <w:tc>
          <w:tcPr>
            <w:tcW w:w="14175" w:type="dxa"/>
          </w:tcPr>
          <w:p w14:paraId="14172E2B" w14:textId="0FB1ABE2" w:rsidR="00A801EB" w:rsidRPr="0091281E" w:rsidRDefault="00A801EB" w:rsidP="00A801EB">
            <w:pPr>
              <w:pStyle w:val="ListParagraph"/>
              <w:numPr>
                <w:ilvl w:val="0"/>
                <w:numId w:val="1"/>
              </w:numPr>
              <w:ind w:left="175" w:hanging="175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Titlul actului UE, inclusiv cele mai recente amendamente incluse și numărul CELEX:</w:t>
            </w:r>
          </w:p>
          <w:p w14:paraId="634B4269" w14:textId="1DE93B7C" w:rsidR="004F32EA" w:rsidRPr="0091281E" w:rsidRDefault="004F32EA" w:rsidP="004F32EA">
            <w:pPr>
              <w:ind w:left="175"/>
              <w:rPr>
                <w:rFonts w:ascii="Roboto" w:hAnsi="Roboto"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sz w:val="20"/>
                <w:szCs w:val="20"/>
                <w:lang w:val="ro-MD"/>
              </w:rPr>
              <w:t>REGULAMENTUL DELEGAT (UE) 2021/1527 AL COMISIEI din 31 mai 2021 de completare a Directivei 2014/59/UE a Parlamentului European și a Consiliului în ceea ce privește standardele tehnice de reglementare privind recunoașterea contractuală a competențelor de reducere a valorii contabile și de conversie</w:t>
            </w:r>
          </w:p>
          <w:p w14:paraId="7C9E1A83" w14:textId="3D075C59" w:rsidR="002332BB" w:rsidRPr="0091281E" w:rsidRDefault="002332BB" w:rsidP="00A801EB">
            <w:pPr>
              <w:ind w:left="175"/>
              <w:rPr>
                <w:rFonts w:ascii="Roboto" w:hAnsi="Roboto"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sz w:val="20"/>
                <w:szCs w:val="20"/>
                <w:lang w:val="ro-MD"/>
              </w:rPr>
              <w:t xml:space="preserve">CELEX - </w:t>
            </w:r>
            <w:r w:rsidR="004F32EA" w:rsidRPr="0091281E">
              <w:rPr>
                <w:rFonts w:ascii="Roboto" w:hAnsi="Roboto"/>
                <w:sz w:val="20"/>
                <w:szCs w:val="20"/>
                <w:lang w:val="ro-MD"/>
              </w:rPr>
              <w:t>32021R1527</w:t>
            </w:r>
          </w:p>
        </w:tc>
      </w:tr>
      <w:tr w:rsidR="00A801EB" w:rsidRPr="00795F8E" w14:paraId="785D1383" w14:textId="77777777" w:rsidTr="00377A70">
        <w:tc>
          <w:tcPr>
            <w:tcW w:w="562" w:type="dxa"/>
          </w:tcPr>
          <w:p w14:paraId="464E5856" w14:textId="0FD0F5D2" w:rsidR="00A801EB" w:rsidRPr="0091281E" w:rsidRDefault="00A801EB" w:rsidP="00A801EB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2</w:t>
            </w:r>
          </w:p>
        </w:tc>
        <w:tc>
          <w:tcPr>
            <w:tcW w:w="14175" w:type="dxa"/>
          </w:tcPr>
          <w:p w14:paraId="79D93697" w14:textId="692C2741" w:rsidR="00A801EB" w:rsidRPr="0091281E" w:rsidRDefault="00A801EB" w:rsidP="00A801EB">
            <w:pPr>
              <w:pStyle w:val="ListParagraph"/>
              <w:numPr>
                <w:ilvl w:val="0"/>
                <w:numId w:val="1"/>
              </w:numPr>
              <w:ind w:left="175" w:hanging="175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Titlul actului normativ național:</w:t>
            </w:r>
          </w:p>
          <w:p w14:paraId="469FB7DA" w14:textId="1EB1D8BB" w:rsidR="00A801EB" w:rsidRPr="0091281E" w:rsidRDefault="00D90E1D" w:rsidP="00A801EB">
            <w:pPr>
              <w:pStyle w:val="ListParagraph"/>
              <w:ind w:left="175"/>
              <w:rPr>
                <w:rFonts w:ascii="Roboto" w:hAnsi="Roboto"/>
                <w:sz w:val="20"/>
                <w:szCs w:val="20"/>
                <w:lang w:val="ro-MD"/>
              </w:rPr>
            </w:pPr>
            <w:r w:rsidRPr="00D90E1D">
              <w:rPr>
                <w:rFonts w:ascii="Roboto" w:hAnsi="Roboto"/>
                <w:sz w:val="20"/>
                <w:szCs w:val="20"/>
                <w:lang w:val="ro-MD"/>
              </w:rPr>
              <w:t>Regulamentul privind contractele financiare și clauzele de recunoaștere a competențelor de rezoluție</w:t>
            </w:r>
          </w:p>
        </w:tc>
      </w:tr>
      <w:tr w:rsidR="00A801EB" w:rsidRPr="0091281E" w14:paraId="24F7783D" w14:textId="77777777" w:rsidTr="00377A70">
        <w:tc>
          <w:tcPr>
            <w:tcW w:w="562" w:type="dxa"/>
          </w:tcPr>
          <w:p w14:paraId="25C28952" w14:textId="5E734291" w:rsidR="00A801EB" w:rsidRPr="0091281E" w:rsidRDefault="00A801EB" w:rsidP="00A801EB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3</w:t>
            </w:r>
          </w:p>
        </w:tc>
        <w:tc>
          <w:tcPr>
            <w:tcW w:w="14175" w:type="dxa"/>
          </w:tcPr>
          <w:p w14:paraId="41272653" w14:textId="5DEACD77" w:rsidR="00A801EB" w:rsidRPr="0091281E" w:rsidRDefault="00A801EB" w:rsidP="00A801EB">
            <w:pPr>
              <w:pStyle w:val="ListParagraph"/>
              <w:numPr>
                <w:ilvl w:val="0"/>
                <w:numId w:val="1"/>
              </w:numPr>
              <w:ind w:left="175" w:hanging="175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Gradul general de compatibilitate:</w:t>
            </w:r>
          </w:p>
          <w:p w14:paraId="331AC4AA" w14:textId="2FF23A0E" w:rsidR="00A801EB" w:rsidRPr="0091281E" w:rsidRDefault="00F819D2" w:rsidP="00A801EB">
            <w:pPr>
              <w:ind w:left="175"/>
              <w:rPr>
                <w:rFonts w:ascii="Roboto" w:hAnsi="Roboto"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sz w:val="20"/>
                <w:szCs w:val="20"/>
                <w:lang w:val="ro-MD"/>
              </w:rPr>
              <w:t>Compatibil</w:t>
            </w:r>
          </w:p>
        </w:tc>
      </w:tr>
      <w:tr w:rsidR="00A801EB" w:rsidRPr="0091281E" w14:paraId="3BF13006" w14:textId="77777777" w:rsidTr="00377A70">
        <w:tc>
          <w:tcPr>
            <w:tcW w:w="562" w:type="dxa"/>
          </w:tcPr>
          <w:p w14:paraId="44CC84C4" w14:textId="06CDA73F" w:rsidR="00A801EB" w:rsidRPr="0091281E" w:rsidRDefault="00A801EB" w:rsidP="00A801EB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4</w:t>
            </w:r>
          </w:p>
        </w:tc>
        <w:tc>
          <w:tcPr>
            <w:tcW w:w="14175" w:type="dxa"/>
          </w:tcPr>
          <w:p w14:paraId="1480C23C" w14:textId="13D93ACE" w:rsidR="00A801EB" w:rsidRPr="0091281E" w:rsidRDefault="00A801EB" w:rsidP="00A801EB">
            <w:pPr>
              <w:pStyle w:val="ListParagraph"/>
              <w:numPr>
                <w:ilvl w:val="0"/>
                <w:numId w:val="1"/>
              </w:numPr>
              <w:ind w:left="175" w:hanging="175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Autoritatea și persoana responsabilă:</w:t>
            </w:r>
          </w:p>
          <w:p w14:paraId="750E2D6A" w14:textId="53C494C5" w:rsidR="00A801EB" w:rsidRPr="0091281E" w:rsidRDefault="00A801EB" w:rsidP="00A801EB">
            <w:pPr>
              <w:ind w:left="175"/>
              <w:rPr>
                <w:rFonts w:ascii="Roboto" w:hAnsi="Roboto"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sz w:val="20"/>
                <w:szCs w:val="20"/>
                <w:lang w:val="ro-MD"/>
              </w:rPr>
              <w:t>B</w:t>
            </w:r>
            <w:r w:rsidR="005F1FAF">
              <w:rPr>
                <w:rFonts w:ascii="Roboto" w:hAnsi="Roboto"/>
                <w:sz w:val="20"/>
                <w:szCs w:val="20"/>
                <w:lang w:val="ro-MD"/>
              </w:rPr>
              <w:t>anca Națională a Moldovei</w:t>
            </w:r>
          </w:p>
        </w:tc>
      </w:tr>
    </w:tbl>
    <w:p w14:paraId="0D2716DD" w14:textId="77777777" w:rsidR="00A801EB" w:rsidRPr="0091281E" w:rsidRDefault="00A801EB" w:rsidP="00A801EB">
      <w:pPr>
        <w:spacing w:after="0"/>
        <w:rPr>
          <w:rFonts w:ascii="Roboto" w:hAnsi="Roboto"/>
          <w:sz w:val="24"/>
          <w:szCs w:val="24"/>
          <w:lang w:val="ro-MD"/>
        </w:rPr>
      </w:pPr>
    </w:p>
    <w:tbl>
      <w:tblPr>
        <w:tblStyle w:val="TableGrid"/>
        <w:tblW w:w="14740" w:type="dxa"/>
        <w:tblLook w:val="04A0" w:firstRow="1" w:lastRow="0" w:firstColumn="1" w:lastColumn="0" w:noHBand="0" w:noVBand="1"/>
      </w:tblPr>
      <w:tblGrid>
        <w:gridCol w:w="5669"/>
        <w:gridCol w:w="5669"/>
        <w:gridCol w:w="1701"/>
        <w:gridCol w:w="1701"/>
      </w:tblGrid>
      <w:tr w:rsidR="0091281E" w:rsidRPr="0091281E" w14:paraId="085C3AD0" w14:textId="63EA2EB9" w:rsidTr="00BE241C">
        <w:tc>
          <w:tcPr>
            <w:tcW w:w="5669" w:type="dxa"/>
            <w:shd w:val="clear" w:color="auto" w:fill="EAE8E3" w:themeFill="background1"/>
            <w:vAlign w:val="center"/>
          </w:tcPr>
          <w:p w14:paraId="140AEA5E" w14:textId="51C65326" w:rsidR="0091281E" w:rsidRPr="0091281E" w:rsidRDefault="0091281E" w:rsidP="0091281E">
            <w:pPr>
              <w:jc w:val="center"/>
              <w:rPr>
                <w:rFonts w:ascii="Roboto" w:hAnsi="Roboto"/>
                <w:b/>
                <w:sz w:val="20"/>
                <w:szCs w:val="20"/>
                <w:lang w:val="ro-MD"/>
              </w:rPr>
            </w:pPr>
            <w:r w:rsidRPr="0091281E">
              <w:rPr>
                <w:rFonts w:ascii="Roboto" w:hAnsi="Roboto" w:cs="Times New Roman"/>
                <w:b/>
                <w:bCs/>
                <w:sz w:val="20"/>
                <w:szCs w:val="20"/>
                <w:lang w:val="ro-RO"/>
              </w:rPr>
              <w:t>Actul Uniunii Europene</w:t>
            </w:r>
          </w:p>
        </w:tc>
        <w:tc>
          <w:tcPr>
            <w:tcW w:w="5669" w:type="dxa"/>
            <w:shd w:val="clear" w:color="auto" w:fill="EAE8E3" w:themeFill="background1"/>
            <w:vAlign w:val="center"/>
          </w:tcPr>
          <w:p w14:paraId="52650421" w14:textId="3D6E5908" w:rsidR="0091281E" w:rsidRPr="0091281E" w:rsidRDefault="0091281E" w:rsidP="0091281E">
            <w:pPr>
              <w:jc w:val="center"/>
              <w:rPr>
                <w:rFonts w:ascii="Roboto" w:hAnsi="Roboto"/>
                <w:b/>
                <w:sz w:val="20"/>
                <w:szCs w:val="20"/>
                <w:lang w:val="ro-MD"/>
              </w:rPr>
            </w:pPr>
            <w:r w:rsidRPr="0091281E">
              <w:rPr>
                <w:rFonts w:ascii="Roboto" w:hAnsi="Roboto" w:cs="Times New Roman"/>
                <w:b/>
                <w:bCs/>
                <w:sz w:val="20"/>
                <w:szCs w:val="20"/>
                <w:lang w:val="ro-RO"/>
              </w:rPr>
              <w:t>Proiectul actului normativ final</w:t>
            </w:r>
          </w:p>
        </w:tc>
        <w:tc>
          <w:tcPr>
            <w:tcW w:w="1701" w:type="dxa"/>
            <w:shd w:val="clear" w:color="auto" w:fill="EAE8E3" w:themeFill="background1"/>
            <w:vAlign w:val="center"/>
          </w:tcPr>
          <w:p w14:paraId="3495999C" w14:textId="4D5A6438" w:rsidR="0091281E" w:rsidRPr="0091281E" w:rsidRDefault="0091281E" w:rsidP="0091281E">
            <w:pPr>
              <w:jc w:val="center"/>
              <w:rPr>
                <w:rFonts w:ascii="Roboto" w:hAnsi="Roboto"/>
                <w:b/>
                <w:sz w:val="20"/>
                <w:szCs w:val="20"/>
                <w:lang w:val="ro-MD"/>
              </w:rPr>
            </w:pPr>
            <w:r w:rsidRPr="0091281E">
              <w:rPr>
                <w:rFonts w:ascii="Roboto" w:hAnsi="Roboto" w:cs="Times New Roman"/>
                <w:b/>
                <w:bCs/>
                <w:sz w:val="20"/>
                <w:szCs w:val="20"/>
                <w:lang w:val="ro-RO"/>
              </w:rPr>
              <w:t>Gradul de compatibilitate</w:t>
            </w:r>
          </w:p>
        </w:tc>
        <w:tc>
          <w:tcPr>
            <w:tcW w:w="1701" w:type="dxa"/>
            <w:shd w:val="clear" w:color="auto" w:fill="EAE8E3" w:themeFill="background1"/>
            <w:vAlign w:val="center"/>
          </w:tcPr>
          <w:p w14:paraId="2A0F5B8E" w14:textId="1FC389CB" w:rsidR="0091281E" w:rsidRPr="0091281E" w:rsidRDefault="0091281E" w:rsidP="0091281E">
            <w:pPr>
              <w:jc w:val="center"/>
              <w:rPr>
                <w:rFonts w:ascii="Roboto" w:hAnsi="Roboto"/>
                <w:b/>
                <w:sz w:val="20"/>
                <w:szCs w:val="20"/>
                <w:lang w:val="ro-MD"/>
              </w:rPr>
            </w:pPr>
            <w:r w:rsidRPr="0091281E">
              <w:rPr>
                <w:rFonts w:ascii="Roboto" w:hAnsi="Roboto" w:cs="Times New Roman"/>
                <w:b/>
                <w:bCs/>
                <w:sz w:val="20"/>
                <w:szCs w:val="20"/>
                <w:lang w:val="ro-RO"/>
              </w:rPr>
              <w:t>Observațiile</w:t>
            </w:r>
          </w:p>
        </w:tc>
      </w:tr>
      <w:tr w:rsidR="0091281E" w:rsidRPr="0091281E" w14:paraId="0FD97FE6" w14:textId="2A382317" w:rsidTr="00BE241C">
        <w:tc>
          <w:tcPr>
            <w:tcW w:w="5669" w:type="dxa"/>
            <w:shd w:val="clear" w:color="auto" w:fill="EAE8E3" w:themeFill="background1"/>
            <w:vAlign w:val="center"/>
          </w:tcPr>
          <w:p w14:paraId="6B92EFF2" w14:textId="4720C041" w:rsidR="0091281E" w:rsidRPr="00795F8E" w:rsidRDefault="00795F8E" w:rsidP="0091281E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795F8E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5</w:t>
            </w:r>
          </w:p>
        </w:tc>
        <w:tc>
          <w:tcPr>
            <w:tcW w:w="5669" w:type="dxa"/>
            <w:shd w:val="clear" w:color="auto" w:fill="EAE8E3" w:themeFill="background1"/>
            <w:vAlign w:val="center"/>
          </w:tcPr>
          <w:p w14:paraId="0E3E874E" w14:textId="10F7C88D" w:rsidR="0091281E" w:rsidRPr="00795F8E" w:rsidRDefault="00795F8E" w:rsidP="0091281E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795F8E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6</w:t>
            </w:r>
          </w:p>
        </w:tc>
        <w:tc>
          <w:tcPr>
            <w:tcW w:w="1701" w:type="dxa"/>
            <w:shd w:val="clear" w:color="auto" w:fill="EAE8E3" w:themeFill="background1"/>
          </w:tcPr>
          <w:p w14:paraId="3A3E670A" w14:textId="77373883" w:rsidR="0091281E" w:rsidRPr="00795F8E" w:rsidRDefault="00795F8E" w:rsidP="0091281E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795F8E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7</w:t>
            </w:r>
          </w:p>
        </w:tc>
        <w:tc>
          <w:tcPr>
            <w:tcW w:w="1701" w:type="dxa"/>
            <w:shd w:val="clear" w:color="auto" w:fill="EAE8E3" w:themeFill="background1"/>
          </w:tcPr>
          <w:p w14:paraId="46A6EE4A" w14:textId="740C1903" w:rsidR="0091281E" w:rsidRPr="00795F8E" w:rsidRDefault="00795F8E" w:rsidP="0091281E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795F8E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8</w:t>
            </w:r>
          </w:p>
        </w:tc>
      </w:tr>
      <w:tr w:rsidR="00A15F90" w:rsidRPr="00795F8E" w14:paraId="113BC206" w14:textId="77777777" w:rsidTr="00A15F90">
        <w:tc>
          <w:tcPr>
            <w:tcW w:w="5669" w:type="dxa"/>
            <w:shd w:val="clear" w:color="auto" w:fill="auto"/>
          </w:tcPr>
          <w:p w14:paraId="1A7B46C0" w14:textId="77777777" w:rsidR="00A15F90" w:rsidRPr="0091281E" w:rsidRDefault="00A15F90" w:rsidP="00A15F90">
            <w:pPr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  <w:tc>
          <w:tcPr>
            <w:tcW w:w="5669" w:type="dxa"/>
          </w:tcPr>
          <w:p w14:paraId="525DDCE9" w14:textId="77777777" w:rsidR="00A15F90" w:rsidRPr="00785C30" w:rsidRDefault="00A15F90" w:rsidP="00A15F90">
            <w:pPr>
              <w:pStyle w:val="ListParagraph"/>
              <w:ind w:left="0"/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785C30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Capitolul I</w:t>
            </w:r>
          </w:p>
          <w:p w14:paraId="75F0BCD8" w14:textId="77777777" w:rsidR="00A15F90" w:rsidRPr="00785C30" w:rsidRDefault="00A15F90" w:rsidP="00A15F90">
            <w:pPr>
              <w:pStyle w:val="Default"/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785C30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Dispoziții generale</w:t>
            </w:r>
          </w:p>
          <w:p w14:paraId="0655F9D0" w14:textId="2F89A162" w:rsidR="00A15F90" w:rsidRPr="00A15F90" w:rsidRDefault="00A15F90" w:rsidP="00A15F90">
            <w:pPr>
              <w:pStyle w:val="ListParagraph"/>
              <w:numPr>
                <w:ilvl w:val="0"/>
                <w:numId w:val="27"/>
              </w:numPr>
              <w:ind w:left="322" w:hanging="322"/>
              <w:jc w:val="both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Prezentul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regulament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stabilește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standardele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tehnice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reglementare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referitoare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conținutul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minim al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evidenței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contractelor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financiare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și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circumstanțele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în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care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instituțiile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de credit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și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entitățile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prevăzute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la art. 1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alin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. (1) lit. b), c)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sau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d) din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Legea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nr. 232/2016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privind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redresarea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și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rezoluția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instituțiilor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de credit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și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firmelor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investiții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în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continuare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instituții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de credit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și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entități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) sunt obligate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să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păstreze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această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evidență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condițiile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privind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includerea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clauzelor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contractuale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recunoaștere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competențelor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reducere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valorii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contabile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și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conversie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condițiile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în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care Banca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Națională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Moldovei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în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calitate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autoritate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competentă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și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în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calitate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autoritate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rezoluție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poate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solicita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includerea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clauzelor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contractuale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respective,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intervalul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timp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aplicabil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examinării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notificărilor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efectuate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instituții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de credit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și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entități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conținutul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clauzelor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contractuale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privind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recunoașterea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competențelor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suspendare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în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caz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rezoluție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14:paraId="2B5D4DAC" w14:textId="77777777" w:rsidR="00A15F90" w:rsidRPr="0091281E" w:rsidRDefault="00A15F90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  <w:tc>
          <w:tcPr>
            <w:tcW w:w="1701" w:type="dxa"/>
            <w:shd w:val="clear" w:color="auto" w:fill="auto"/>
          </w:tcPr>
          <w:p w14:paraId="3579804C" w14:textId="77777777" w:rsidR="00A15F90" w:rsidRPr="0091281E" w:rsidRDefault="00A15F90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</w:tr>
      <w:tr w:rsidR="00A15F90" w:rsidRPr="00795F8E" w14:paraId="74A32707" w14:textId="77777777" w:rsidTr="00A15F90">
        <w:tc>
          <w:tcPr>
            <w:tcW w:w="5669" w:type="dxa"/>
            <w:shd w:val="clear" w:color="auto" w:fill="auto"/>
          </w:tcPr>
          <w:p w14:paraId="6852BDC3" w14:textId="77777777" w:rsidR="00A15F90" w:rsidRPr="0091281E" w:rsidRDefault="00A15F90" w:rsidP="00A15F90">
            <w:pPr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  <w:tc>
          <w:tcPr>
            <w:tcW w:w="5669" w:type="dxa"/>
          </w:tcPr>
          <w:p w14:paraId="4946C1F9" w14:textId="7CF7C013" w:rsidR="00A15F90" w:rsidRPr="00A15F90" w:rsidRDefault="00A15F90" w:rsidP="00A15F90">
            <w:pPr>
              <w:pStyle w:val="ListParagraph"/>
              <w:numPr>
                <w:ilvl w:val="0"/>
                <w:numId w:val="27"/>
              </w:numPr>
              <w:ind w:left="322" w:hanging="284"/>
              <w:jc w:val="both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A15F90">
              <w:rPr>
                <w:rFonts w:ascii="Roboto" w:hAnsi="Roboto"/>
                <w:sz w:val="20"/>
                <w:szCs w:val="20"/>
                <w:lang w:val="ro-MD"/>
              </w:rPr>
              <w:t>Scopul prezentului regulament constă în asigurarea unei aplicări uniforme și eficiente a cadrului de redresare și rezoluție, precum și în consolidarea posibilității de soluționare a instituțiilor de credit și entităților, prin facilitarea accesului Băncii Naționale a Moldovei</w:t>
            </w:r>
            <w:r w:rsidR="002913D1">
              <w:rPr>
                <w:rFonts w:ascii="Roboto" w:hAnsi="Roboto"/>
                <w:sz w:val="20"/>
                <w:szCs w:val="20"/>
                <w:lang w:val="ro-MD"/>
              </w:rPr>
              <w:t>,</w:t>
            </w:r>
            <w:r w:rsidRPr="00A15F90">
              <w:rPr>
                <w:rFonts w:ascii="Roboto" w:hAnsi="Roboto"/>
                <w:sz w:val="20"/>
                <w:szCs w:val="20"/>
                <w:lang w:val="ro-MD"/>
              </w:rPr>
              <w:t xml:space="preserve"> în calitate de autoritate competentă și în calitate de </w:t>
            </w:r>
            <w:r w:rsidRPr="00A15F90">
              <w:rPr>
                <w:rFonts w:ascii="Roboto" w:hAnsi="Roboto"/>
                <w:sz w:val="20"/>
                <w:szCs w:val="20"/>
                <w:lang w:val="ro-MD"/>
              </w:rPr>
              <w:lastRenderedPageBreak/>
              <w:t>autoritate de rezoluție, la informațiile relevante privind contractele financiare, asigurarea recunoașterii contractuale a competențelor de rezoluție în raporturile juridice guvernate de legea unui stat terț, reducerea riscurilor juridice și operaționale aferente aplicării instrumentelor și competențelor de rezoluție.</w:t>
            </w:r>
          </w:p>
        </w:tc>
        <w:tc>
          <w:tcPr>
            <w:tcW w:w="1701" w:type="dxa"/>
            <w:shd w:val="clear" w:color="auto" w:fill="auto"/>
          </w:tcPr>
          <w:p w14:paraId="3A8C4905" w14:textId="77777777" w:rsidR="00A15F90" w:rsidRPr="0091281E" w:rsidRDefault="00A15F90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  <w:tc>
          <w:tcPr>
            <w:tcW w:w="1701" w:type="dxa"/>
            <w:shd w:val="clear" w:color="auto" w:fill="auto"/>
          </w:tcPr>
          <w:p w14:paraId="32DA1D4F" w14:textId="77777777" w:rsidR="00A15F90" w:rsidRPr="0091281E" w:rsidRDefault="00A15F90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</w:tr>
      <w:tr w:rsidR="00A15F90" w:rsidRPr="00795F8E" w14:paraId="1866C08F" w14:textId="77777777" w:rsidTr="00A15F90">
        <w:tc>
          <w:tcPr>
            <w:tcW w:w="5669" w:type="dxa"/>
            <w:shd w:val="clear" w:color="auto" w:fill="auto"/>
          </w:tcPr>
          <w:p w14:paraId="05275414" w14:textId="77777777" w:rsidR="00A15F90" w:rsidRPr="0091281E" w:rsidRDefault="00A15F90" w:rsidP="00A15F90">
            <w:pPr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  <w:tc>
          <w:tcPr>
            <w:tcW w:w="5669" w:type="dxa"/>
          </w:tcPr>
          <w:p w14:paraId="50D137F1" w14:textId="14281F5A" w:rsidR="00A15F90" w:rsidRPr="00A15F90" w:rsidRDefault="00A15F90" w:rsidP="00A15F90">
            <w:pPr>
              <w:pStyle w:val="ListParagraph"/>
              <w:numPr>
                <w:ilvl w:val="0"/>
                <w:numId w:val="27"/>
              </w:numPr>
              <w:ind w:left="322" w:hanging="284"/>
              <w:jc w:val="both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Termenii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și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expresiile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utilizate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în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prezentul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regulament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au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semnificația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prevăzută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>Legea</w:t>
            </w:r>
            <w:proofErr w:type="spellEnd"/>
            <w:r w:rsidRPr="00A15F90">
              <w:rPr>
                <w:rFonts w:ascii="Roboto" w:hAnsi="Roboto"/>
                <w:sz w:val="20"/>
                <w:szCs w:val="20"/>
                <w:lang w:val="en-US"/>
              </w:rPr>
              <w:t xml:space="preserve"> nr. 232/2016.</w:t>
            </w:r>
          </w:p>
        </w:tc>
        <w:tc>
          <w:tcPr>
            <w:tcW w:w="1701" w:type="dxa"/>
            <w:shd w:val="clear" w:color="auto" w:fill="auto"/>
          </w:tcPr>
          <w:p w14:paraId="055BE6A1" w14:textId="77777777" w:rsidR="00A15F90" w:rsidRPr="0091281E" w:rsidRDefault="00A15F90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  <w:tc>
          <w:tcPr>
            <w:tcW w:w="1701" w:type="dxa"/>
            <w:shd w:val="clear" w:color="auto" w:fill="auto"/>
          </w:tcPr>
          <w:p w14:paraId="31AB6C4E" w14:textId="77777777" w:rsidR="00A15F90" w:rsidRPr="0091281E" w:rsidRDefault="00A15F90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</w:tr>
      <w:tr w:rsidR="00A15F90" w:rsidRPr="0091281E" w14:paraId="537BE23C" w14:textId="0D106AEC" w:rsidTr="0091281E">
        <w:tc>
          <w:tcPr>
            <w:tcW w:w="5669" w:type="dxa"/>
          </w:tcPr>
          <w:p w14:paraId="0405FAAD" w14:textId="77777777" w:rsidR="00A15F90" w:rsidRPr="0091281E" w:rsidRDefault="00A15F90" w:rsidP="00A15F90">
            <w:pPr>
              <w:pStyle w:val="Default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91281E">
              <w:rPr>
                <w:rFonts w:ascii="Roboto" w:hAnsi="Roboto"/>
                <w:b/>
                <w:bCs/>
                <w:sz w:val="20"/>
                <w:szCs w:val="20"/>
              </w:rPr>
              <w:t>Articolul 1 – Condițiile în care ar fi imposibil să se includă clauza contractuală menționată la articolul 55 alineatul (1) din Directiva 2014/59/UE în anumite categorii de datorii</w:t>
            </w:r>
          </w:p>
          <w:p w14:paraId="79D72577" w14:textId="65276DC0" w:rsidR="00A15F90" w:rsidRPr="0091281E" w:rsidRDefault="00A15F90" w:rsidP="00A15F90">
            <w:pPr>
              <w:pStyle w:val="Default"/>
              <w:numPr>
                <w:ilvl w:val="0"/>
                <w:numId w:val="7"/>
              </w:numPr>
              <w:ind w:left="317" w:hanging="317"/>
              <w:rPr>
                <w:rFonts w:ascii="Roboto" w:hAnsi="Roboto"/>
                <w:sz w:val="20"/>
                <w:szCs w:val="20"/>
              </w:rPr>
            </w:pPr>
            <w:r w:rsidRPr="0091281E">
              <w:rPr>
                <w:rFonts w:ascii="Roboto" w:hAnsi="Roboto"/>
                <w:sz w:val="20"/>
                <w:szCs w:val="20"/>
              </w:rPr>
              <w:t>Condițiile în care ar fi imposibil, din punct de vedere juridic sau din motive de altă natură, ca o instituție sau o entitate menționată la articolul 1 alineatul (1) litera (b), (c) sau (d) din Directiva 2014/59/UE să includă, în dispozițiile contractuale aplicabile unei datorii relevante, clauza contractuală menționată la articolul 55 alineatul (1) din directiva menționată sunt următoarele:</w:t>
            </w:r>
          </w:p>
          <w:p w14:paraId="2542B574" w14:textId="271F9AAB" w:rsidR="00A15F90" w:rsidRPr="0091281E" w:rsidRDefault="00A15F90" w:rsidP="00A15F90">
            <w:pPr>
              <w:pStyle w:val="Default"/>
              <w:numPr>
                <w:ilvl w:val="0"/>
                <w:numId w:val="8"/>
              </w:numPr>
              <w:ind w:left="317" w:hanging="317"/>
              <w:rPr>
                <w:rFonts w:ascii="Roboto" w:hAnsi="Roboto"/>
                <w:sz w:val="20"/>
                <w:szCs w:val="20"/>
              </w:rPr>
            </w:pPr>
            <w:r w:rsidRPr="0091281E">
              <w:rPr>
                <w:rFonts w:ascii="Roboto" w:hAnsi="Roboto"/>
                <w:sz w:val="20"/>
                <w:szCs w:val="20"/>
              </w:rPr>
              <w:t>includerea clauzei contractuale ar constitui o încălcare a actelor cu putere de lege sau a actelor administrative ale țării terțe aplicabile datoriei;</w:t>
            </w:r>
          </w:p>
          <w:p w14:paraId="7B75B76F" w14:textId="2184015B" w:rsidR="00A15F90" w:rsidRPr="0091281E" w:rsidRDefault="00A15F90" w:rsidP="00A15F90">
            <w:pPr>
              <w:pStyle w:val="Default"/>
              <w:numPr>
                <w:ilvl w:val="0"/>
                <w:numId w:val="8"/>
              </w:numPr>
              <w:ind w:left="317" w:hanging="317"/>
              <w:rPr>
                <w:rFonts w:ascii="Roboto" w:hAnsi="Roboto"/>
                <w:sz w:val="20"/>
                <w:szCs w:val="20"/>
              </w:rPr>
            </w:pPr>
            <w:r w:rsidRPr="0091281E">
              <w:rPr>
                <w:rFonts w:ascii="Roboto" w:hAnsi="Roboto"/>
                <w:sz w:val="20"/>
                <w:szCs w:val="20"/>
              </w:rPr>
              <w:t>includerea clauzei contractuale ar contraveni unei instrucțiuni exprese și obligatorii emise de o autoritate a unei țări terțe;</w:t>
            </w:r>
          </w:p>
          <w:p w14:paraId="6D7F91BD" w14:textId="77777777" w:rsidR="00A15F90" w:rsidRPr="0091281E" w:rsidRDefault="00A15F90" w:rsidP="00A15F90">
            <w:pPr>
              <w:pStyle w:val="Default"/>
              <w:numPr>
                <w:ilvl w:val="0"/>
                <w:numId w:val="8"/>
              </w:numPr>
              <w:ind w:left="317" w:hanging="317"/>
              <w:rPr>
                <w:rFonts w:ascii="Roboto" w:hAnsi="Roboto"/>
                <w:sz w:val="20"/>
                <w:szCs w:val="20"/>
              </w:rPr>
            </w:pPr>
            <w:r w:rsidRPr="0091281E">
              <w:rPr>
                <w:rFonts w:ascii="Roboto" w:hAnsi="Roboto"/>
                <w:sz w:val="20"/>
                <w:szCs w:val="20"/>
              </w:rPr>
              <w:t>datoria rezultă din instrumente sau acorduri încheiate în conformitate cu clauze sau protocoale internaționale standardizate pe care instituția sau entitatea nu le poate modifica;</w:t>
            </w:r>
          </w:p>
          <w:p w14:paraId="5A2A766F" w14:textId="79703250" w:rsidR="00A15F90" w:rsidRPr="0091281E" w:rsidRDefault="00A15F90" w:rsidP="00A15F90">
            <w:pPr>
              <w:pStyle w:val="Default"/>
              <w:numPr>
                <w:ilvl w:val="0"/>
                <w:numId w:val="8"/>
              </w:numPr>
              <w:ind w:left="317" w:hanging="317"/>
              <w:rPr>
                <w:rFonts w:ascii="Roboto" w:hAnsi="Roboto"/>
                <w:sz w:val="20"/>
                <w:szCs w:val="20"/>
              </w:rPr>
            </w:pPr>
            <w:r w:rsidRPr="0091281E">
              <w:rPr>
                <w:rFonts w:ascii="Roboto" w:hAnsi="Roboto"/>
                <w:sz w:val="20"/>
                <w:szCs w:val="20"/>
              </w:rPr>
              <w:t>datoria este reglementată de clauze contractuale pe care instituția sau entitatea trebuie să le accepte pentru a putea participa la un organism din afara Uniunii sau a putea apela la serviciile unui astfel de organism și pe care instituția sau entitatea nu le poate modifica;</w:t>
            </w:r>
          </w:p>
          <w:p w14:paraId="42426D42" w14:textId="365B5F3D" w:rsidR="00A15F90" w:rsidRPr="0091281E" w:rsidRDefault="00A15F90" w:rsidP="00A15F90">
            <w:pPr>
              <w:pStyle w:val="Default"/>
              <w:numPr>
                <w:ilvl w:val="0"/>
                <w:numId w:val="8"/>
              </w:numPr>
              <w:ind w:left="317" w:hanging="317"/>
              <w:rPr>
                <w:rFonts w:ascii="Roboto" w:hAnsi="Roboto"/>
                <w:sz w:val="20"/>
                <w:szCs w:val="20"/>
              </w:rPr>
            </w:pPr>
            <w:r w:rsidRPr="0091281E">
              <w:rPr>
                <w:rFonts w:ascii="Roboto" w:hAnsi="Roboto"/>
                <w:sz w:val="20"/>
                <w:szCs w:val="20"/>
              </w:rPr>
              <w:t>datoria este deținută de un creditor comercial și este legată de furnizarea de bunuri sau servicii care, deși nu sunt cruciale, sunt utilizate pentru desfășurarea zilnică a activităților instituției sau entității sau instituția ori entitatea nu poate modifica dispozițiile acordului.</w:t>
            </w:r>
          </w:p>
        </w:tc>
        <w:tc>
          <w:tcPr>
            <w:tcW w:w="5669" w:type="dxa"/>
          </w:tcPr>
          <w:p w14:paraId="586AD130" w14:textId="77777777" w:rsidR="004A35D0" w:rsidRPr="004A35D0" w:rsidRDefault="004A35D0" w:rsidP="004A35D0">
            <w:pPr>
              <w:pStyle w:val="Default"/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4A35D0">
              <w:rPr>
                <w:rFonts w:ascii="Roboto" w:hAnsi="Roboto"/>
                <w:b/>
                <w:bCs/>
                <w:sz w:val="20"/>
                <w:szCs w:val="20"/>
              </w:rPr>
              <w:t>Capitolul III</w:t>
            </w:r>
          </w:p>
          <w:p w14:paraId="09BCFB01" w14:textId="14E80F0F" w:rsidR="004A35D0" w:rsidRDefault="004A35D0" w:rsidP="004A35D0">
            <w:pPr>
              <w:pStyle w:val="Default"/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4A35D0">
              <w:rPr>
                <w:rFonts w:ascii="Roboto" w:hAnsi="Roboto"/>
                <w:b/>
                <w:bCs/>
                <w:sz w:val="20"/>
                <w:szCs w:val="20"/>
              </w:rPr>
              <w:t>Standardele tehnice de reglementare privind recunoașterea contractuală a competențelor de reducere a valorii contabile și de conversie</w:t>
            </w:r>
          </w:p>
          <w:p w14:paraId="787AED66" w14:textId="77777777" w:rsidR="00A15F90" w:rsidRDefault="00A15F90" w:rsidP="004A35D0">
            <w:pPr>
              <w:rPr>
                <w:rFonts w:ascii="Roboto" w:hAnsi="Roboto"/>
                <w:sz w:val="20"/>
                <w:szCs w:val="20"/>
                <w:lang w:val="ro-MD"/>
              </w:rPr>
            </w:pPr>
          </w:p>
          <w:p w14:paraId="30849A07" w14:textId="77777777" w:rsidR="004A35D0" w:rsidRPr="004A35D0" w:rsidRDefault="004A35D0" w:rsidP="004A35D0">
            <w:pPr>
              <w:jc w:val="center"/>
              <w:rPr>
                <w:rFonts w:ascii="Roboto" w:hAnsi="Roboto"/>
                <w:i/>
                <w:iCs/>
                <w:sz w:val="20"/>
                <w:szCs w:val="20"/>
                <w:lang w:val="ro-MD"/>
              </w:rPr>
            </w:pPr>
            <w:r w:rsidRPr="004A35D0">
              <w:rPr>
                <w:rFonts w:ascii="Roboto" w:hAnsi="Roboto"/>
                <w:i/>
                <w:iCs/>
                <w:sz w:val="20"/>
                <w:szCs w:val="20"/>
                <w:lang w:val="ro-MD"/>
              </w:rPr>
              <w:t>Secțiunea I</w:t>
            </w:r>
          </w:p>
          <w:p w14:paraId="3CFBA457" w14:textId="77777777" w:rsidR="004A35D0" w:rsidRDefault="004A35D0" w:rsidP="004A35D0">
            <w:pPr>
              <w:jc w:val="center"/>
              <w:rPr>
                <w:rFonts w:ascii="Roboto" w:hAnsi="Roboto"/>
                <w:i/>
                <w:iCs/>
                <w:sz w:val="20"/>
                <w:szCs w:val="20"/>
                <w:lang w:val="ro-MD"/>
              </w:rPr>
            </w:pPr>
            <w:r w:rsidRPr="004A35D0">
              <w:rPr>
                <w:rFonts w:ascii="Roboto" w:hAnsi="Roboto"/>
                <w:i/>
                <w:iCs/>
                <w:sz w:val="20"/>
                <w:szCs w:val="20"/>
                <w:lang w:val="ro-MD"/>
              </w:rPr>
              <w:t>Condițiile în care ar fi imposibil să se includă clauza contractuală menționată la art. 210 din Legea nr. 232/2016, în anumite categorii de datorii</w:t>
            </w:r>
          </w:p>
          <w:p w14:paraId="17BED983" w14:textId="76811685" w:rsidR="004A35D0" w:rsidRPr="004A35D0" w:rsidRDefault="004A35D0" w:rsidP="004A35D0">
            <w:pPr>
              <w:pStyle w:val="ListParagraph"/>
              <w:numPr>
                <w:ilvl w:val="0"/>
                <w:numId w:val="29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4A35D0">
              <w:rPr>
                <w:rFonts w:ascii="Roboto" w:hAnsi="Roboto"/>
                <w:sz w:val="20"/>
                <w:szCs w:val="20"/>
                <w:lang w:val="ro-MD"/>
              </w:rPr>
              <w:t>Condițiile în care ar fi imposibil, din punct de vedere juridic sau din motive de altă natură, ca o instituție de credit sau o entitate să includă în dispozițiile contractuale</w:t>
            </w:r>
            <w:r w:rsidR="00CC2B04">
              <w:rPr>
                <w:rFonts w:ascii="Roboto" w:hAnsi="Roboto"/>
                <w:sz w:val="20"/>
                <w:szCs w:val="20"/>
                <w:lang w:val="ro-MD"/>
              </w:rPr>
              <w:t>,</w:t>
            </w:r>
            <w:r w:rsidRPr="004A35D0">
              <w:rPr>
                <w:rFonts w:ascii="Roboto" w:hAnsi="Roboto"/>
                <w:sz w:val="20"/>
                <w:szCs w:val="20"/>
                <w:lang w:val="ro-MD"/>
              </w:rPr>
              <w:t xml:space="preserve"> aplicabile unei datorii relevante, clauza contractuală menționată la art. 210 din Legea nr. 232/2016, sunt următoarele:</w:t>
            </w:r>
          </w:p>
          <w:p w14:paraId="0FAB3D66" w14:textId="234D0F91" w:rsidR="004A35D0" w:rsidRPr="004A35D0" w:rsidRDefault="004A35D0" w:rsidP="004A35D0">
            <w:pPr>
              <w:pStyle w:val="ListParagraph"/>
              <w:numPr>
                <w:ilvl w:val="0"/>
                <w:numId w:val="30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4A35D0">
              <w:rPr>
                <w:rFonts w:ascii="Roboto" w:hAnsi="Roboto"/>
                <w:sz w:val="20"/>
                <w:szCs w:val="20"/>
                <w:lang w:val="ro-MD"/>
              </w:rPr>
              <w:t>includerea clauzei contractuale ar constitui o încălcare a legislației sau a actelor administrative ale țării terțe aplicabile datoriei;</w:t>
            </w:r>
          </w:p>
          <w:p w14:paraId="375F3E7B" w14:textId="58097DBB" w:rsidR="004A35D0" w:rsidRPr="004A35D0" w:rsidRDefault="004A35D0" w:rsidP="004A35D0">
            <w:pPr>
              <w:pStyle w:val="ListParagraph"/>
              <w:numPr>
                <w:ilvl w:val="0"/>
                <w:numId w:val="30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4A35D0">
              <w:rPr>
                <w:rFonts w:ascii="Roboto" w:hAnsi="Roboto"/>
                <w:sz w:val="20"/>
                <w:szCs w:val="20"/>
                <w:lang w:val="ro-MD"/>
              </w:rPr>
              <w:t>includerea clauzei contractuale ar contraveni unei instrucțiuni exprese și obligatorii emise de o autoritate a unei țări terțe;</w:t>
            </w:r>
          </w:p>
          <w:p w14:paraId="5BECD903" w14:textId="78B5989D" w:rsidR="004A35D0" w:rsidRPr="004A35D0" w:rsidRDefault="004A35D0" w:rsidP="004A35D0">
            <w:pPr>
              <w:pStyle w:val="ListParagraph"/>
              <w:numPr>
                <w:ilvl w:val="0"/>
                <w:numId w:val="30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4A35D0">
              <w:rPr>
                <w:rFonts w:ascii="Roboto" w:hAnsi="Roboto"/>
                <w:sz w:val="20"/>
                <w:szCs w:val="20"/>
                <w:lang w:val="ro-MD"/>
              </w:rPr>
              <w:t>datoria rezultă din instrumente sau acorduri încheiate în conformitate cu clauze sau protocoale internaționale standardizate pe care instituția de credit sau entitatea nu le poate modifica;</w:t>
            </w:r>
          </w:p>
          <w:p w14:paraId="284E2A3F" w14:textId="295FEBC4" w:rsidR="004A35D0" w:rsidRPr="004A35D0" w:rsidRDefault="004A35D0" w:rsidP="004A35D0">
            <w:pPr>
              <w:pStyle w:val="ListParagraph"/>
              <w:numPr>
                <w:ilvl w:val="0"/>
                <w:numId w:val="30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4A35D0">
              <w:rPr>
                <w:rFonts w:ascii="Roboto" w:hAnsi="Roboto"/>
                <w:sz w:val="20"/>
                <w:szCs w:val="20"/>
                <w:lang w:val="ro-MD"/>
              </w:rPr>
              <w:t>datoria este reglementată de clauze contractuale pe care instituția de credit sau entitatea trebuie să le accepte pentru a putea participa la un organism din afara Uniunii sau a putea apela la serviciile unui astfel de organism și pe care instituția de credit sau entitatea nu le poate modifica;</w:t>
            </w:r>
          </w:p>
          <w:p w14:paraId="35AD46A4" w14:textId="5102BB19" w:rsidR="004A35D0" w:rsidRPr="004A35D0" w:rsidRDefault="004A35D0" w:rsidP="004A35D0">
            <w:pPr>
              <w:pStyle w:val="ListParagraph"/>
              <w:numPr>
                <w:ilvl w:val="0"/>
                <w:numId w:val="30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4A35D0">
              <w:rPr>
                <w:rFonts w:ascii="Roboto" w:hAnsi="Roboto"/>
                <w:sz w:val="20"/>
                <w:szCs w:val="20"/>
                <w:lang w:val="ro-MD"/>
              </w:rPr>
              <w:lastRenderedPageBreak/>
              <w:t>datoria este deținută de un creditor comercial și este legată de furnizarea de bunuri sau servicii care, deși nu sunt cruciale, sunt utilizate pentru desfășurarea zilnică a activităților instituției de credit sau entității sau instituția de credit ori entitatea nu poate modifica dispozițiile acordului.</w:t>
            </w:r>
          </w:p>
        </w:tc>
        <w:tc>
          <w:tcPr>
            <w:tcW w:w="1701" w:type="dxa"/>
          </w:tcPr>
          <w:p w14:paraId="3478BFF1" w14:textId="6A60F551" w:rsidR="00A15F90" w:rsidRPr="0091281E" w:rsidRDefault="00A15F90" w:rsidP="00A15F90">
            <w:pPr>
              <w:pStyle w:val="Default"/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lastRenderedPageBreak/>
              <w:t>Compatibil</w:t>
            </w:r>
          </w:p>
        </w:tc>
        <w:tc>
          <w:tcPr>
            <w:tcW w:w="1701" w:type="dxa"/>
          </w:tcPr>
          <w:p w14:paraId="49E291A3" w14:textId="77777777" w:rsidR="00A15F90" w:rsidRPr="0091281E" w:rsidRDefault="00A15F90" w:rsidP="00A15F90">
            <w:pPr>
              <w:pStyle w:val="Default"/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</w:p>
        </w:tc>
      </w:tr>
      <w:tr w:rsidR="00A15F90" w:rsidRPr="0091281E" w14:paraId="263C738D" w14:textId="13F9F302" w:rsidTr="004A35D0">
        <w:trPr>
          <w:trHeight w:val="1695"/>
        </w:trPr>
        <w:tc>
          <w:tcPr>
            <w:tcW w:w="5669" w:type="dxa"/>
          </w:tcPr>
          <w:p w14:paraId="51EE76EF" w14:textId="15D9D2F9" w:rsidR="00A15F90" w:rsidRPr="0091281E" w:rsidRDefault="00A15F90" w:rsidP="00A15F90">
            <w:pPr>
              <w:pStyle w:val="ListParagraph"/>
              <w:numPr>
                <w:ilvl w:val="0"/>
                <w:numId w:val="7"/>
              </w:numPr>
              <w:ind w:left="317" w:hanging="317"/>
              <w:rPr>
                <w:rFonts w:ascii="Roboto" w:hAnsi="Roboto"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sz w:val="20"/>
                <w:szCs w:val="20"/>
                <w:lang w:val="ro-MD"/>
              </w:rPr>
              <w:t xml:space="preserve">În sensul alineatului (1) literele (c), (d) și (e), se consideră că o instituție sau o entitate se află în imposibilitatea de a modifica instrumentele, acordurile sau clauzele contractuale în cazul în care instrumentul, acordul sau clauzele contractuale pot fi încheiate numai în condițiile stabilite de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ro-MD"/>
              </w:rPr>
              <w:t>contraparte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ro-MD"/>
              </w:rPr>
              <w:t xml:space="preserve"> sau de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ro-MD"/>
              </w:rPr>
              <w:t>contrapărți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ro-MD"/>
              </w:rPr>
              <w:t xml:space="preserve"> sau prin clauzele sau protocoalele standard aplicabile.</w:t>
            </w:r>
          </w:p>
        </w:tc>
        <w:tc>
          <w:tcPr>
            <w:tcW w:w="5669" w:type="dxa"/>
          </w:tcPr>
          <w:p w14:paraId="23C70CA2" w14:textId="26A41473" w:rsidR="00A15F90" w:rsidRPr="004A35D0" w:rsidRDefault="00A15F90" w:rsidP="004A35D0">
            <w:pPr>
              <w:pStyle w:val="ListParagraph"/>
              <w:numPr>
                <w:ilvl w:val="0"/>
                <w:numId w:val="32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4A35D0">
              <w:rPr>
                <w:rFonts w:ascii="Roboto" w:hAnsi="Roboto"/>
                <w:sz w:val="20"/>
                <w:szCs w:val="20"/>
                <w:lang w:val="ro-MD"/>
              </w:rPr>
              <w:t xml:space="preserve">În </w:t>
            </w:r>
            <w:r w:rsidR="004A35D0" w:rsidRPr="004A35D0">
              <w:rPr>
                <w:rFonts w:ascii="Roboto" w:hAnsi="Roboto"/>
                <w:sz w:val="20"/>
                <w:szCs w:val="20"/>
                <w:lang w:val="ro-MD"/>
              </w:rPr>
              <w:t xml:space="preserve">sensul pct. 9 lit. c), d) și e), se consideră că o instituție de credit sau o entitate se află în imposibilitatea de a modifica instrumentele, acordurile sau clauzele contractuale în cazul în care instrumentul, acordul sau clauzele contractuale pot fi încheiate numai în condițiile stabilite de </w:t>
            </w:r>
            <w:proofErr w:type="spellStart"/>
            <w:r w:rsidR="004A35D0" w:rsidRPr="004A35D0">
              <w:rPr>
                <w:rFonts w:ascii="Roboto" w:hAnsi="Roboto"/>
                <w:sz w:val="20"/>
                <w:szCs w:val="20"/>
                <w:lang w:val="ro-MD"/>
              </w:rPr>
              <w:t>contraparte</w:t>
            </w:r>
            <w:proofErr w:type="spellEnd"/>
            <w:r w:rsidR="004A35D0" w:rsidRPr="004A35D0">
              <w:rPr>
                <w:rFonts w:ascii="Roboto" w:hAnsi="Roboto"/>
                <w:sz w:val="20"/>
                <w:szCs w:val="20"/>
                <w:lang w:val="ro-MD"/>
              </w:rPr>
              <w:t xml:space="preserve"> sau de </w:t>
            </w:r>
            <w:proofErr w:type="spellStart"/>
            <w:r w:rsidR="004A35D0" w:rsidRPr="004A35D0">
              <w:rPr>
                <w:rFonts w:ascii="Roboto" w:hAnsi="Roboto"/>
                <w:sz w:val="20"/>
                <w:szCs w:val="20"/>
                <w:lang w:val="ro-MD"/>
              </w:rPr>
              <w:t>contrapărți</w:t>
            </w:r>
            <w:proofErr w:type="spellEnd"/>
            <w:r w:rsidR="004A35D0" w:rsidRPr="004A35D0">
              <w:rPr>
                <w:rFonts w:ascii="Roboto" w:hAnsi="Roboto"/>
                <w:sz w:val="20"/>
                <w:szCs w:val="20"/>
                <w:lang w:val="ro-MD"/>
              </w:rPr>
              <w:t xml:space="preserve"> sau prin clauzele sau protocoalele standard aplicabile.</w:t>
            </w:r>
          </w:p>
        </w:tc>
        <w:tc>
          <w:tcPr>
            <w:tcW w:w="1701" w:type="dxa"/>
          </w:tcPr>
          <w:p w14:paraId="1A6EB3D9" w14:textId="43C17D48" w:rsidR="00A15F90" w:rsidRPr="0091281E" w:rsidRDefault="00A15F90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Compatibil</w:t>
            </w:r>
          </w:p>
        </w:tc>
        <w:tc>
          <w:tcPr>
            <w:tcW w:w="1701" w:type="dxa"/>
          </w:tcPr>
          <w:p w14:paraId="76EC5091" w14:textId="77777777" w:rsidR="00A15F90" w:rsidRPr="0091281E" w:rsidRDefault="00A15F90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</w:tr>
      <w:tr w:rsidR="00A15F90" w:rsidRPr="0091281E" w14:paraId="4DC8C80B" w14:textId="62DBB765" w:rsidTr="0091281E">
        <w:tc>
          <w:tcPr>
            <w:tcW w:w="5669" w:type="dxa"/>
          </w:tcPr>
          <w:p w14:paraId="353F67B9" w14:textId="77777777" w:rsidR="00A15F90" w:rsidRPr="0091281E" w:rsidRDefault="00A15F90" w:rsidP="00A15F90">
            <w:pPr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Articolul</w:t>
            </w:r>
            <w:proofErr w:type="spellEnd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 xml:space="preserve"> 2 – </w:t>
            </w:r>
            <w:proofErr w:type="spellStart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Condițiile</w:t>
            </w:r>
            <w:proofErr w:type="spellEnd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pentru</w:t>
            </w:r>
            <w:proofErr w:type="spellEnd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 xml:space="preserve"> ca </w:t>
            </w:r>
            <w:proofErr w:type="spellStart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autoritatea</w:t>
            </w:r>
            <w:proofErr w:type="spellEnd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rezoluție</w:t>
            </w:r>
            <w:proofErr w:type="spellEnd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să</w:t>
            </w:r>
            <w:proofErr w:type="spellEnd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solicite</w:t>
            </w:r>
            <w:proofErr w:type="spellEnd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includerea</w:t>
            </w:r>
            <w:proofErr w:type="spellEnd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clauzei</w:t>
            </w:r>
            <w:proofErr w:type="spellEnd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contractuale</w:t>
            </w:r>
            <w:proofErr w:type="spellEnd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menționate</w:t>
            </w:r>
            <w:proofErr w:type="spellEnd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articolul</w:t>
            </w:r>
            <w:proofErr w:type="spellEnd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 xml:space="preserve"> 55 </w:t>
            </w:r>
            <w:proofErr w:type="spellStart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alineatul</w:t>
            </w:r>
            <w:proofErr w:type="spellEnd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 xml:space="preserve"> (1) din </w:t>
            </w:r>
            <w:proofErr w:type="spellStart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Directiva</w:t>
            </w:r>
            <w:proofErr w:type="spellEnd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 xml:space="preserve"> 2014/59/UE </w:t>
            </w:r>
            <w:proofErr w:type="spellStart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în</w:t>
            </w:r>
            <w:proofErr w:type="spellEnd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anumite</w:t>
            </w:r>
            <w:proofErr w:type="spellEnd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categorii</w:t>
            </w:r>
            <w:proofErr w:type="spellEnd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1281E"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datorii</w:t>
            </w:r>
            <w:proofErr w:type="spellEnd"/>
          </w:p>
          <w:p w14:paraId="254C5188" w14:textId="02463B45" w:rsidR="00A15F90" w:rsidRPr="0091281E" w:rsidRDefault="00A15F90" w:rsidP="00A15F90">
            <w:pPr>
              <w:pStyle w:val="ListParagraph"/>
              <w:numPr>
                <w:ilvl w:val="0"/>
                <w:numId w:val="9"/>
              </w:numPr>
              <w:ind w:left="317" w:hanging="317"/>
              <w:rPr>
                <w:rFonts w:ascii="Roboto" w:hAnsi="Roboto"/>
                <w:sz w:val="20"/>
                <w:szCs w:val="20"/>
                <w:lang w:val="en-US"/>
              </w:rPr>
            </w:pP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Autoritatea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rezoluție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solicită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includerea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clauzei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contractuale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menționate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articolul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55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alineatul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(1) din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Directiva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2014/59/UE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în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dispozițiile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contractuale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aplicabile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unei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datorii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relevante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în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cazul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în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care a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concluzionat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, pe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baza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notificării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efectuate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instituție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sau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a</w:t>
            </w:r>
            <w:proofErr w:type="gram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entitate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că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nu se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îndeplinește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niciuna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dintre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condițiile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imposibilitate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notificate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și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menționate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articolul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1 din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prezentul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regulament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și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condiția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îndeplinirii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uneia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dintre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condițiile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următoare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:</w:t>
            </w:r>
          </w:p>
          <w:p w14:paraId="73449A55" w14:textId="553679FD" w:rsidR="00A15F90" w:rsidRPr="0091281E" w:rsidRDefault="00A15F90" w:rsidP="00A15F90">
            <w:pPr>
              <w:pStyle w:val="ListParagraph"/>
              <w:numPr>
                <w:ilvl w:val="0"/>
                <w:numId w:val="10"/>
              </w:numPr>
              <w:ind w:left="317" w:hanging="317"/>
              <w:rPr>
                <w:rFonts w:ascii="Roboto" w:hAnsi="Roboto"/>
                <w:sz w:val="20"/>
                <w:szCs w:val="20"/>
                <w:lang w:val="en-US"/>
              </w:rPr>
            </w:pP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cuantumul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nominal al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datoriei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create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prin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acordul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sau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instrumentul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relevant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este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mai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mare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sau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egal cu 20 de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milioane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EUR;</w:t>
            </w:r>
            <w:proofErr w:type="gramEnd"/>
          </w:p>
          <w:p w14:paraId="72E1AA2F" w14:textId="12E772F2" w:rsidR="00A15F90" w:rsidRPr="0091281E" w:rsidRDefault="00A15F90" w:rsidP="00A15F90">
            <w:pPr>
              <w:pStyle w:val="ListParagraph"/>
              <w:numPr>
                <w:ilvl w:val="0"/>
                <w:numId w:val="10"/>
              </w:numPr>
              <w:ind w:left="317" w:hanging="317"/>
              <w:rPr>
                <w:rFonts w:ascii="Roboto" w:hAnsi="Roboto"/>
                <w:sz w:val="20"/>
                <w:szCs w:val="20"/>
                <w:lang w:val="en-US"/>
              </w:rPr>
            </w:pP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scadența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reziduală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a</w:t>
            </w:r>
            <w:proofErr w:type="gram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acordului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sau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instrumentului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este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mai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mare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sau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egală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șase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luni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.</w:t>
            </w:r>
          </w:p>
        </w:tc>
        <w:tc>
          <w:tcPr>
            <w:tcW w:w="5669" w:type="dxa"/>
          </w:tcPr>
          <w:p w14:paraId="2C7DA37B" w14:textId="77777777" w:rsidR="004A35D0" w:rsidRPr="004A35D0" w:rsidRDefault="004A35D0" w:rsidP="004A35D0">
            <w:pPr>
              <w:jc w:val="center"/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Secțiunea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II</w:t>
            </w:r>
          </w:p>
          <w:p w14:paraId="6D38D4BB" w14:textId="5149EB05" w:rsidR="004A35D0" w:rsidRPr="004A35D0" w:rsidRDefault="004A35D0" w:rsidP="004A35D0">
            <w:pPr>
              <w:jc w:val="center"/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Condițiile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pentru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ca Banca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Națională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Moldovei</w:t>
            </w:r>
            <w:proofErr w:type="spellEnd"/>
            <w:r w:rsidR="00CC2B04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,</w:t>
            </w:r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calitate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autoritate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competentă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și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calitate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autoritate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rezoluție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să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solicite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includerea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clauzei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contractuale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menționate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la art. 210 din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Legea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nr. 232/2016,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în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anumite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categorii</w:t>
            </w:r>
            <w:proofErr w:type="spellEnd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4A35D0">
              <w:rPr>
                <w:rFonts w:ascii="Roboto" w:hAnsi="Roboto"/>
                <w:i/>
                <w:iCs/>
                <w:sz w:val="20"/>
                <w:szCs w:val="20"/>
                <w:lang w:val="en-US"/>
              </w:rPr>
              <w:t>datorii</w:t>
            </w:r>
            <w:proofErr w:type="spellEnd"/>
          </w:p>
          <w:p w14:paraId="4A546C1E" w14:textId="2623750A" w:rsidR="004A35D0" w:rsidRPr="004A35D0" w:rsidRDefault="004A35D0" w:rsidP="004A35D0">
            <w:pPr>
              <w:pStyle w:val="ListParagraph"/>
              <w:numPr>
                <w:ilvl w:val="0"/>
                <w:numId w:val="34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4A35D0">
              <w:rPr>
                <w:rFonts w:ascii="Roboto" w:hAnsi="Roboto"/>
                <w:sz w:val="20"/>
                <w:szCs w:val="20"/>
                <w:lang w:val="ro-MD"/>
              </w:rPr>
              <w:t>Banca Națională a Moldovei</w:t>
            </w:r>
            <w:r w:rsidR="00CC2B04">
              <w:rPr>
                <w:rFonts w:ascii="Roboto" w:hAnsi="Roboto"/>
                <w:sz w:val="20"/>
                <w:szCs w:val="20"/>
                <w:lang w:val="ro-MD"/>
              </w:rPr>
              <w:t>,</w:t>
            </w:r>
            <w:r w:rsidRPr="004A35D0">
              <w:rPr>
                <w:rFonts w:ascii="Roboto" w:hAnsi="Roboto"/>
                <w:sz w:val="20"/>
                <w:szCs w:val="20"/>
                <w:lang w:val="ro-MD"/>
              </w:rPr>
              <w:t xml:space="preserve"> în calitate de autoritate competentă și în calitate de autoritate de rezoluție, solicită includerea clauzei contractuale</w:t>
            </w:r>
            <w:r w:rsidR="00CC2B04">
              <w:rPr>
                <w:rFonts w:ascii="Roboto" w:hAnsi="Roboto"/>
                <w:sz w:val="20"/>
                <w:szCs w:val="20"/>
                <w:lang w:val="ro-MD"/>
              </w:rPr>
              <w:t>,</w:t>
            </w:r>
            <w:r w:rsidRPr="004A35D0">
              <w:rPr>
                <w:rFonts w:ascii="Roboto" w:hAnsi="Roboto"/>
                <w:sz w:val="20"/>
                <w:szCs w:val="20"/>
                <w:lang w:val="ro-MD"/>
              </w:rPr>
              <w:t xml:space="preserve"> menționate la art. 210 din Legea nr. 232/2016, în dispozițiile contractuale aplicabile unei datorii relevante</w:t>
            </w:r>
            <w:r w:rsidR="00CC2B04">
              <w:rPr>
                <w:rFonts w:ascii="Roboto" w:hAnsi="Roboto"/>
                <w:sz w:val="20"/>
                <w:szCs w:val="20"/>
                <w:lang w:val="ro-MD"/>
              </w:rPr>
              <w:t>,</w:t>
            </w:r>
            <w:r w:rsidRPr="004A35D0">
              <w:rPr>
                <w:rFonts w:ascii="Roboto" w:hAnsi="Roboto"/>
                <w:sz w:val="20"/>
                <w:szCs w:val="20"/>
                <w:lang w:val="ro-MD"/>
              </w:rPr>
              <w:t xml:space="preserve"> în cazul în care a concluzionat, pe baza notificării efectuate de instituți</w:t>
            </w:r>
            <w:r w:rsidR="00CC2B04">
              <w:rPr>
                <w:rFonts w:ascii="Roboto" w:hAnsi="Roboto"/>
                <w:sz w:val="20"/>
                <w:szCs w:val="20"/>
                <w:lang w:val="ro-MD"/>
              </w:rPr>
              <w:t>a</w:t>
            </w:r>
            <w:r w:rsidRPr="004A35D0">
              <w:rPr>
                <w:rFonts w:ascii="Roboto" w:hAnsi="Roboto"/>
                <w:sz w:val="20"/>
                <w:szCs w:val="20"/>
                <w:lang w:val="ro-MD"/>
              </w:rPr>
              <w:t xml:space="preserve"> de credit sau </w:t>
            </w:r>
            <w:r w:rsidR="00CC2B04">
              <w:rPr>
                <w:rFonts w:ascii="Roboto" w:hAnsi="Roboto"/>
                <w:sz w:val="20"/>
                <w:szCs w:val="20"/>
                <w:lang w:val="ro-MD"/>
              </w:rPr>
              <w:t>de</w:t>
            </w:r>
            <w:r w:rsidRPr="004A35D0">
              <w:rPr>
                <w:rFonts w:ascii="Roboto" w:hAnsi="Roboto"/>
                <w:sz w:val="20"/>
                <w:szCs w:val="20"/>
                <w:lang w:val="ro-MD"/>
              </w:rPr>
              <w:t xml:space="preserve"> entitate, că nu se îndeplinește niciuna dintre condițiile de imposibilitate notificate și menționate la pct. 9 și 10 și cu condiția îndeplinirii uneia dintre condițiile următoare:</w:t>
            </w:r>
          </w:p>
          <w:p w14:paraId="757B4E77" w14:textId="77777777" w:rsidR="004A35D0" w:rsidRDefault="004A35D0" w:rsidP="004A35D0">
            <w:pPr>
              <w:pStyle w:val="ListParagraph"/>
              <w:numPr>
                <w:ilvl w:val="0"/>
                <w:numId w:val="35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4A35D0">
              <w:rPr>
                <w:rFonts w:ascii="Roboto" w:hAnsi="Roboto"/>
                <w:sz w:val="20"/>
                <w:szCs w:val="20"/>
                <w:lang w:val="ro-MD"/>
              </w:rPr>
              <w:t>cuantumul nominal al datoriei create prin acordul sau instrumentul relevant este mai mare sau egal cu echivalentul în MDL a 20 de milioane EUR;</w:t>
            </w:r>
          </w:p>
          <w:p w14:paraId="0BDD8F22" w14:textId="29A2AA82" w:rsidR="00A15F90" w:rsidRPr="004A35D0" w:rsidRDefault="004A35D0" w:rsidP="004A35D0">
            <w:pPr>
              <w:pStyle w:val="ListParagraph"/>
              <w:numPr>
                <w:ilvl w:val="0"/>
                <w:numId w:val="35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4A35D0">
              <w:rPr>
                <w:rFonts w:ascii="Roboto" w:hAnsi="Roboto"/>
                <w:sz w:val="20"/>
                <w:szCs w:val="20"/>
                <w:lang w:val="ro-MD"/>
              </w:rPr>
              <w:t>scadența reziduală a acordului sau a instrumentului este mai mare sau egală cu șase luni.</w:t>
            </w:r>
          </w:p>
        </w:tc>
        <w:tc>
          <w:tcPr>
            <w:tcW w:w="1701" w:type="dxa"/>
          </w:tcPr>
          <w:p w14:paraId="3846929D" w14:textId="6D65CFED" w:rsidR="00A15F90" w:rsidRPr="0091281E" w:rsidRDefault="00A15F90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  <w:t>Compatibil</w:t>
            </w:r>
            <w:proofErr w:type="spellEnd"/>
          </w:p>
        </w:tc>
        <w:tc>
          <w:tcPr>
            <w:tcW w:w="1701" w:type="dxa"/>
          </w:tcPr>
          <w:p w14:paraId="22178D1D" w14:textId="77777777" w:rsidR="00A15F90" w:rsidRPr="0091281E" w:rsidRDefault="00A15F90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</w:pPr>
          </w:p>
        </w:tc>
      </w:tr>
      <w:tr w:rsidR="00681EAF" w:rsidRPr="0091281E" w14:paraId="1D9274EA" w14:textId="7C8D48D4" w:rsidTr="0091281E">
        <w:tc>
          <w:tcPr>
            <w:tcW w:w="5669" w:type="dxa"/>
            <w:vMerge w:val="restart"/>
          </w:tcPr>
          <w:p w14:paraId="2663E45C" w14:textId="1E6D52B5" w:rsidR="00681EAF" w:rsidRPr="0091281E" w:rsidRDefault="00681EAF" w:rsidP="00A15F90">
            <w:pPr>
              <w:pStyle w:val="ListParagraph"/>
              <w:numPr>
                <w:ilvl w:val="0"/>
                <w:numId w:val="9"/>
              </w:numPr>
              <w:ind w:left="317" w:hanging="317"/>
              <w:rPr>
                <w:rFonts w:ascii="Roboto" w:hAnsi="Roboto"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sz w:val="20"/>
                <w:szCs w:val="20"/>
                <w:lang w:val="ro-MD"/>
              </w:rPr>
              <w:t xml:space="preserve">Dacă acest lucru este necesar pentru a asigura posibilitatea de soluționare, autoritatea de rezoluție poate solicita includerea clauzei contractuale menționate la articolul 55 alineatul (1) din Directiva 2014/59/UE în dispozițiile contractuale aplicabile unei datorii relevante dacă a concluzionat, pe baza notificării efectuate de instituție sau a entitate, că nu se îndeplinește niciuna </w:t>
            </w:r>
            <w:r w:rsidRPr="0091281E">
              <w:rPr>
                <w:rFonts w:ascii="Roboto" w:hAnsi="Roboto"/>
                <w:sz w:val="20"/>
                <w:szCs w:val="20"/>
                <w:lang w:val="ro-MD"/>
              </w:rPr>
              <w:lastRenderedPageBreak/>
              <w:t>dintre condițiile de imposibilitate notificate și menționate la articolul 1 din prezentul regulament și cu condiția să nu se îndeplinească niciuna dintre condițiile enumerate la alineatul (1) literele (a) și (b) de la prezentul articol.</w:t>
            </w:r>
          </w:p>
          <w:p w14:paraId="475FEFA5" w14:textId="77777777" w:rsidR="00681EAF" w:rsidRPr="0091281E" w:rsidRDefault="00681EAF" w:rsidP="00A15F90">
            <w:pPr>
              <w:pStyle w:val="ListParagraph"/>
              <w:ind w:left="317"/>
              <w:rPr>
                <w:rFonts w:ascii="Roboto" w:hAnsi="Roboto"/>
                <w:sz w:val="20"/>
                <w:szCs w:val="20"/>
                <w:lang w:val="ro-MD"/>
              </w:rPr>
            </w:pPr>
          </w:p>
          <w:p w14:paraId="613C6E1E" w14:textId="736D68F2" w:rsidR="00681EAF" w:rsidRPr="0091281E" w:rsidRDefault="00681EAF" w:rsidP="00A15F90">
            <w:pPr>
              <w:pStyle w:val="ListParagraph"/>
              <w:ind w:left="317"/>
              <w:rPr>
                <w:rFonts w:ascii="Roboto" w:hAnsi="Roboto"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sz w:val="20"/>
                <w:szCs w:val="20"/>
                <w:lang w:val="ro-MD"/>
              </w:rPr>
              <w:t>Atunci când verifică dacă includerea clauzei contractuale este necesară pentru a asigura posibilitatea de soluționare, în conformitate cu primul paragraf, autoritatea de rezoluție acordă deosebită atenție cel puțin unuia dintre elementele următoare:</w:t>
            </w:r>
          </w:p>
          <w:p w14:paraId="0EC930D2" w14:textId="2C7AB12D" w:rsidR="00681EAF" w:rsidRPr="0091281E" w:rsidRDefault="00681EAF" w:rsidP="00A15F90">
            <w:pPr>
              <w:pStyle w:val="ListParagraph"/>
              <w:numPr>
                <w:ilvl w:val="0"/>
                <w:numId w:val="11"/>
              </w:numPr>
              <w:ind w:left="317" w:hanging="317"/>
              <w:rPr>
                <w:rFonts w:ascii="Roboto" w:hAnsi="Roboto"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sz w:val="20"/>
                <w:szCs w:val="20"/>
                <w:lang w:val="ro-MD"/>
              </w:rPr>
              <w:t>cuantumul și tipul acordului sau instrumentului;</w:t>
            </w:r>
          </w:p>
          <w:p w14:paraId="7FE6FE60" w14:textId="549F58E5" w:rsidR="00681EAF" w:rsidRPr="0091281E" w:rsidRDefault="00681EAF" w:rsidP="00A15F90">
            <w:pPr>
              <w:pStyle w:val="ListParagraph"/>
              <w:numPr>
                <w:ilvl w:val="0"/>
                <w:numId w:val="11"/>
              </w:numPr>
              <w:ind w:left="317" w:hanging="317"/>
              <w:rPr>
                <w:rFonts w:ascii="Roboto" w:hAnsi="Roboto"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sz w:val="20"/>
                <w:szCs w:val="20"/>
                <w:lang w:val="ro-MD"/>
              </w:rPr>
              <w:t>fezabilitatea utilizării instrumentelor de rezoluție;</w:t>
            </w:r>
          </w:p>
          <w:p w14:paraId="7D8C8AF1" w14:textId="614862B0" w:rsidR="00681EAF" w:rsidRPr="0091281E" w:rsidRDefault="00681EAF" w:rsidP="00A15F90">
            <w:pPr>
              <w:pStyle w:val="ListParagraph"/>
              <w:numPr>
                <w:ilvl w:val="0"/>
                <w:numId w:val="11"/>
              </w:numPr>
              <w:ind w:left="317" w:hanging="317"/>
              <w:rPr>
                <w:rFonts w:ascii="Roboto" w:hAnsi="Roboto"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sz w:val="20"/>
                <w:szCs w:val="20"/>
                <w:lang w:val="ro-MD"/>
              </w:rPr>
              <w:t xml:space="preserve">credibilitatea utilizării instrumentelor de rezoluție într-un mod care să îndeplinească obiectivele rezoluției, ținând seama de impactul posibil asupra creditorilor,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ro-MD"/>
              </w:rPr>
              <w:t>contrapărților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ro-MD"/>
              </w:rPr>
              <w:t>, clienților și angajaților, precum și de eventualele măsuri ale autorităților țărilor terțe;</w:t>
            </w:r>
          </w:p>
          <w:p w14:paraId="10B7CA61" w14:textId="2E1F333F" w:rsidR="00681EAF" w:rsidRPr="0091281E" w:rsidRDefault="00681EAF" w:rsidP="00A15F90">
            <w:pPr>
              <w:pStyle w:val="ListParagraph"/>
              <w:numPr>
                <w:ilvl w:val="0"/>
                <w:numId w:val="11"/>
              </w:numPr>
              <w:ind w:left="317" w:hanging="317"/>
              <w:rPr>
                <w:rFonts w:ascii="Roboto" w:hAnsi="Roboto"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sz w:val="20"/>
                <w:szCs w:val="20"/>
                <w:lang w:val="ro-MD"/>
              </w:rPr>
              <w:t>rangul datoriei în cadrul procedurii obișnuite de insolvență prevăzute de dreptul intern;</w:t>
            </w:r>
          </w:p>
          <w:p w14:paraId="1D55C5E2" w14:textId="3A15EB5F" w:rsidR="00681EAF" w:rsidRPr="0091281E" w:rsidRDefault="00681EAF" w:rsidP="00A15F90">
            <w:pPr>
              <w:pStyle w:val="ListParagraph"/>
              <w:numPr>
                <w:ilvl w:val="0"/>
                <w:numId w:val="11"/>
              </w:numPr>
              <w:ind w:left="317" w:hanging="317"/>
              <w:rPr>
                <w:rFonts w:ascii="Roboto" w:hAnsi="Roboto"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sz w:val="20"/>
                <w:szCs w:val="20"/>
                <w:lang w:val="ro-MD"/>
              </w:rPr>
              <w:t>scadența datoriei și caracterul reînnoibil al contractului.</w:t>
            </w:r>
          </w:p>
        </w:tc>
        <w:tc>
          <w:tcPr>
            <w:tcW w:w="5669" w:type="dxa"/>
          </w:tcPr>
          <w:p w14:paraId="39C6E02A" w14:textId="26D4D73E" w:rsidR="00681EAF" w:rsidRPr="00681EAF" w:rsidRDefault="00681EAF" w:rsidP="00681EAF">
            <w:pPr>
              <w:pStyle w:val="ListParagraph"/>
              <w:numPr>
                <w:ilvl w:val="0"/>
                <w:numId w:val="37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681EAF">
              <w:rPr>
                <w:rFonts w:ascii="Roboto" w:hAnsi="Roboto"/>
                <w:sz w:val="20"/>
                <w:szCs w:val="20"/>
                <w:lang w:val="ro-MD"/>
              </w:rPr>
              <w:lastRenderedPageBreak/>
              <w:t>Dacă acest lucru este necesar pentru a asigura posibilitatea de soluționare, Banca Națională a Moldovei</w:t>
            </w:r>
            <w:r w:rsidR="00CC2B04">
              <w:rPr>
                <w:rFonts w:ascii="Roboto" w:hAnsi="Roboto"/>
                <w:sz w:val="20"/>
                <w:szCs w:val="20"/>
                <w:lang w:val="ro-MD"/>
              </w:rPr>
              <w:t>,</w:t>
            </w:r>
            <w:r w:rsidRPr="00681EAF">
              <w:rPr>
                <w:rFonts w:ascii="Roboto" w:hAnsi="Roboto"/>
                <w:sz w:val="20"/>
                <w:szCs w:val="20"/>
                <w:lang w:val="ro-MD"/>
              </w:rPr>
              <w:t xml:space="preserve"> în calitate de autoritate competentă și în calitate de autoritate de rezoluție, poate solicita includerea clauzei contractuale</w:t>
            </w:r>
            <w:r w:rsidR="00CC2B04">
              <w:rPr>
                <w:rFonts w:ascii="Roboto" w:hAnsi="Roboto"/>
                <w:sz w:val="20"/>
                <w:szCs w:val="20"/>
                <w:lang w:val="ro-MD"/>
              </w:rPr>
              <w:t>,</w:t>
            </w:r>
            <w:r w:rsidRPr="00681EAF">
              <w:rPr>
                <w:rFonts w:ascii="Roboto" w:hAnsi="Roboto"/>
                <w:sz w:val="20"/>
                <w:szCs w:val="20"/>
                <w:lang w:val="ro-MD"/>
              </w:rPr>
              <w:t xml:space="preserve"> menționate la art. 210 din Legea nr. 232/2016, în dispozițiile contractuale aplicabile unei datorii relevante</w:t>
            </w:r>
            <w:r w:rsidR="00CC2B04">
              <w:rPr>
                <w:rFonts w:ascii="Roboto" w:hAnsi="Roboto"/>
                <w:sz w:val="20"/>
                <w:szCs w:val="20"/>
                <w:lang w:val="ro-MD"/>
              </w:rPr>
              <w:t>,</w:t>
            </w:r>
            <w:r w:rsidRPr="00681EAF">
              <w:rPr>
                <w:rFonts w:ascii="Roboto" w:hAnsi="Roboto"/>
                <w:sz w:val="20"/>
                <w:szCs w:val="20"/>
                <w:lang w:val="ro-MD"/>
              </w:rPr>
              <w:t xml:space="preserve"> dacă a concluzionat, pe baza notificării </w:t>
            </w:r>
            <w:r w:rsidRPr="00681EAF">
              <w:rPr>
                <w:rFonts w:ascii="Roboto" w:hAnsi="Roboto"/>
                <w:sz w:val="20"/>
                <w:szCs w:val="20"/>
                <w:lang w:val="ro-MD"/>
              </w:rPr>
              <w:lastRenderedPageBreak/>
              <w:t>efectuate de instituți</w:t>
            </w:r>
            <w:r w:rsidR="00CC2B04">
              <w:rPr>
                <w:rFonts w:ascii="Roboto" w:hAnsi="Roboto"/>
                <w:sz w:val="20"/>
                <w:szCs w:val="20"/>
                <w:lang w:val="ro-MD"/>
              </w:rPr>
              <w:t>a</w:t>
            </w:r>
            <w:r w:rsidRPr="00681EAF">
              <w:rPr>
                <w:rFonts w:ascii="Roboto" w:hAnsi="Roboto"/>
                <w:sz w:val="20"/>
                <w:szCs w:val="20"/>
                <w:lang w:val="ro-MD"/>
              </w:rPr>
              <w:t xml:space="preserve"> de credit sau </w:t>
            </w:r>
            <w:r w:rsidR="00CC2B04">
              <w:rPr>
                <w:rFonts w:ascii="Roboto" w:hAnsi="Roboto"/>
                <w:sz w:val="20"/>
                <w:szCs w:val="20"/>
                <w:lang w:val="ro-MD"/>
              </w:rPr>
              <w:t>de</w:t>
            </w:r>
            <w:r w:rsidRPr="00681EAF">
              <w:rPr>
                <w:rFonts w:ascii="Roboto" w:hAnsi="Roboto"/>
                <w:sz w:val="20"/>
                <w:szCs w:val="20"/>
                <w:lang w:val="ro-MD"/>
              </w:rPr>
              <w:t xml:space="preserve"> entitate, că nu se îndeplinește niciuna dintre condițiile de imposibilitate notificate și menționate la pct. 9 și 10 și cu condiția să nu se îndeplinească niciuna dintre condițiile enumerate la pct. 11 lit. a) și b).</w:t>
            </w:r>
          </w:p>
        </w:tc>
        <w:tc>
          <w:tcPr>
            <w:tcW w:w="1701" w:type="dxa"/>
          </w:tcPr>
          <w:p w14:paraId="14DDA4CB" w14:textId="1C4D50C3" w:rsidR="00681EAF" w:rsidRPr="0091281E" w:rsidRDefault="00681EAF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lastRenderedPageBreak/>
              <w:t>Compatibil</w:t>
            </w:r>
          </w:p>
        </w:tc>
        <w:tc>
          <w:tcPr>
            <w:tcW w:w="1701" w:type="dxa"/>
          </w:tcPr>
          <w:p w14:paraId="532FEF2A" w14:textId="77777777" w:rsidR="00681EAF" w:rsidRPr="0091281E" w:rsidRDefault="00681EAF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</w:tr>
      <w:tr w:rsidR="00681EAF" w:rsidRPr="00795F8E" w14:paraId="69547834" w14:textId="77777777" w:rsidTr="0091281E">
        <w:tc>
          <w:tcPr>
            <w:tcW w:w="5669" w:type="dxa"/>
            <w:vMerge/>
          </w:tcPr>
          <w:p w14:paraId="61D58E9D" w14:textId="77777777" w:rsidR="00681EAF" w:rsidRPr="00681EAF" w:rsidRDefault="00681EAF" w:rsidP="00681EAF">
            <w:pPr>
              <w:rPr>
                <w:rFonts w:ascii="Roboto" w:hAnsi="Roboto"/>
                <w:sz w:val="20"/>
                <w:szCs w:val="20"/>
                <w:lang w:val="ro-MD"/>
              </w:rPr>
            </w:pPr>
          </w:p>
        </w:tc>
        <w:tc>
          <w:tcPr>
            <w:tcW w:w="5669" w:type="dxa"/>
          </w:tcPr>
          <w:p w14:paraId="0F16F719" w14:textId="4E522609" w:rsidR="00681EAF" w:rsidRPr="00681EAF" w:rsidRDefault="00681EAF" w:rsidP="00681EAF">
            <w:pPr>
              <w:pStyle w:val="ListParagraph"/>
              <w:numPr>
                <w:ilvl w:val="0"/>
                <w:numId w:val="39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681EAF">
              <w:rPr>
                <w:rFonts w:ascii="Roboto" w:hAnsi="Roboto"/>
                <w:sz w:val="20"/>
                <w:szCs w:val="20"/>
                <w:lang w:val="ro-MD"/>
              </w:rPr>
              <w:t>Atunci când verifică dacă includerea clauzei contractuale este necesară pentru a asigura posibilitatea de soluționare, în conformitate cu pct. 12, Banca Națională a Moldovei</w:t>
            </w:r>
            <w:r w:rsidR="00CC2B04">
              <w:rPr>
                <w:rFonts w:ascii="Roboto" w:hAnsi="Roboto"/>
                <w:sz w:val="20"/>
                <w:szCs w:val="20"/>
                <w:lang w:val="ro-MD"/>
              </w:rPr>
              <w:t>,</w:t>
            </w:r>
            <w:r w:rsidRPr="00681EAF">
              <w:rPr>
                <w:rFonts w:ascii="Roboto" w:hAnsi="Roboto"/>
                <w:sz w:val="20"/>
                <w:szCs w:val="20"/>
                <w:lang w:val="ro-MD"/>
              </w:rPr>
              <w:t xml:space="preserve"> în calitate de autoritate competentă și în calitate de autoritate de rezoluție, acordă deosebită atenție cel puțin unuia dintre elementele următoare:</w:t>
            </w:r>
          </w:p>
          <w:p w14:paraId="203FF3F5" w14:textId="77777777" w:rsidR="00681EAF" w:rsidRDefault="00681EAF" w:rsidP="00681EAF">
            <w:pPr>
              <w:pStyle w:val="ListParagraph"/>
              <w:numPr>
                <w:ilvl w:val="0"/>
                <w:numId w:val="40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681EAF">
              <w:rPr>
                <w:rFonts w:ascii="Roboto" w:hAnsi="Roboto"/>
                <w:sz w:val="20"/>
                <w:szCs w:val="20"/>
                <w:lang w:val="ro-MD"/>
              </w:rPr>
              <w:t>cuantumul și tipul acordului sau instrumentului;</w:t>
            </w:r>
          </w:p>
          <w:p w14:paraId="3C8B1306" w14:textId="77777777" w:rsidR="00681EAF" w:rsidRDefault="00681EAF" w:rsidP="00681EAF">
            <w:pPr>
              <w:pStyle w:val="ListParagraph"/>
              <w:numPr>
                <w:ilvl w:val="0"/>
                <w:numId w:val="40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681EAF">
              <w:rPr>
                <w:rFonts w:ascii="Roboto" w:hAnsi="Roboto"/>
                <w:sz w:val="20"/>
                <w:szCs w:val="20"/>
                <w:lang w:val="ro-MD"/>
              </w:rPr>
              <w:t>fezabilitatea utilizării instrumentelor de rezoluție;</w:t>
            </w:r>
          </w:p>
          <w:p w14:paraId="09EE7A06" w14:textId="77777777" w:rsidR="00681EAF" w:rsidRDefault="00681EAF" w:rsidP="00681EAF">
            <w:pPr>
              <w:pStyle w:val="ListParagraph"/>
              <w:numPr>
                <w:ilvl w:val="0"/>
                <w:numId w:val="40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681EAF">
              <w:rPr>
                <w:rFonts w:ascii="Roboto" w:hAnsi="Roboto"/>
                <w:sz w:val="20"/>
                <w:szCs w:val="20"/>
                <w:lang w:val="ro-MD"/>
              </w:rPr>
              <w:t xml:space="preserve">credibilitatea utilizării instrumentelor de rezoluție într-un mod care să îndeplinească obiectivele rezoluției, ținând seama de impactul posibil asupra creditorilor, </w:t>
            </w:r>
            <w:proofErr w:type="spellStart"/>
            <w:r w:rsidRPr="00681EAF">
              <w:rPr>
                <w:rFonts w:ascii="Roboto" w:hAnsi="Roboto"/>
                <w:sz w:val="20"/>
                <w:szCs w:val="20"/>
                <w:lang w:val="ro-MD"/>
              </w:rPr>
              <w:t>contrapărților</w:t>
            </w:r>
            <w:proofErr w:type="spellEnd"/>
            <w:r w:rsidRPr="00681EAF">
              <w:rPr>
                <w:rFonts w:ascii="Roboto" w:hAnsi="Roboto"/>
                <w:sz w:val="20"/>
                <w:szCs w:val="20"/>
                <w:lang w:val="ro-MD"/>
              </w:rPr>
              <w:t>, clienților și angajaților, precum și de eventualele măsuri ale autorităților țărilor terțe;</w:t>
            </w:r>
          </w:p>
          <w:p w14:paraId="530738CD" w14:textId="77777777" w:rsidR="00681EAF" w:rsidRDefault="00681EAF" w:rsidP="00681EAF">
            <w:pPr>
              <w:pStyle w:val="ListParagraph"/>
              <w:numPr>
                <w:ilvl w:val="0"/>
                <w:numId w:val="40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681EAF">
              <w:rPr>
                <w:rFonts w:ascii="Roboto" w:hAnsi="Roboto"/>
                <w:sz w:val="20"/>
                <w:szCs w:val="20"/>
                <w:lang w:val="ro-MD"/>
              </w:rPr>
              <w:t>rangul datoriei în cadrul procedurii obișnuite de insolvabilitate prevăzute de dreptul intern;</w:t>
            </w:r>
          </w:p>
          <w:p w14:paraId="58CD1837" w14:textId="2976F0F9" w:rsidR="00681EAF" w:rsidRPr="00681EAF" w:rsidRDefault="00681EAF" w:rsidP="00681EAF">
            <w:pPr>
              <w:pStyle w:val="ListParagraph"/>
              <w:numPr>
                <w:ilvl w:val="0"/>
                <w:numId w:val="40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681EAF">
              <w:rPr>
                <w:rFonts w:ascii="Roboto" w:hAnsi="Roboto"/>
                <w:sz w:val="20"/>
                <w:szCs w:val="20"/>
                <w:lang w:val="ro-MD"/>
              </w:rPr>
              <w:t>scadența datoriei și caracterul reînnoibil al contractului.</w:t>
            </w:r>
          </w:p>
        </w:tc>
        <w:tc>
          <w:tcPr>
            <w:tcW w:w="1701" w:type="dxa"/>
          </w:tcPr>
          <w:p w14:paraId="4F26E77F" w14:textId="77777777" w:rsidR="00681EAF" w:rsidRDefault="00681EAF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  <w:tc>
          <w:tcPr>
            <w:tcW w:w="1701" w:type="dxa"/>
          </w:tcPr>
          <w:p w14:paraId="228BD419" w14:textId="77777777" w:rsidR="00681EAF" w:rsidRPr="0091281E" w:rsidRDefault="00681EAF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</w:tr>
      <w:tr w:rsidR="00A15F90" w:rsidRPr="0091281E" w14:paraId="11751570" w14:textId="70F70BBA" w:rsidTr="0091281E">
        <w:tc>
          <w:tcPr>
            <w:tcW w:w="5669" w:type="dxa"/>
          </w:tcPr>
          <w:p w14:paraId="63A93F6A" w14:textId="77777777" w:rsidR="00A15F90" w:rsidRPr="0091281E" w:rsidRDefault="00A15F90" w:rsidP="00A15F90">
            <w:pPr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Articolul 3 – Intervalul de timp rezonabil pentru solicitarea de către autoritatea de rezoluție a includerii unei clauze contractuale</w:t>
            </w:r>
          </w:p>
          <w:p w14:paraId="79602A1E" w14:textId="2D94A3B0" w:rsidR="00A15F90" w:rsidRPr="0091281E" w:rsidRDefault="00A15F90" w:rsidP="00A15F90">
            <w:pPr>
              <w:pStyle w:val="ListParagraph"/>
              <w:numPr>
                <w:ilvl w:val="0"/>
                <w:numId w:val="12"/>
              </w:numPr>
              <w:ind w:left="317" w:hanging="317"/>
              <w:rPr>
                <w:rFonts w:ascii="Roboto" w:hAnsi="Roboto"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sz w:val="20"/>
                <w:szCs w:val="20"/>
                <w:lang w:val="ro-MD"/>
              </w:rPr>
              <w:t>Intervalul de timp rezonabil menționat la articolul 55 alineatul (2) al treilea paragraf din Directiva 2014/59/UE este de trei luni de la data la care autoritatea de rezoluție primește notificarea menționată la articolul 55 alineatul (2) primul paragraf din directiva menționată.</w:t>
            </w:r>
          </w:p>
        </w:tc>
        <w:tc>
          <w:tcPr>
            <w:tcW w:w="5669" w:type="dxa"/>
          </w:tcPr>
          <w:p w14:paraId="0E3C2EC9" w14:textId="77777777" w:rsidR="00681EAF" w:rsidRPr="00681EAF" w:rsidRDefault="00681EAF" w:rsidP="00681EAF">
            <w:pPr>
              <w:jc w:val="center"/>
              <w:rPr>
                <w:rFonts w:ascii="Roboto" w:hAnsi="Roboto"/>
                <w:i/>
                <w:iCs/>
                <w:sz w:val="20"/>
                <w:szCs w:val="20"/>
                <w:lang w:val="ro-MD"/>
              </w:rPr>
            </w:pPr>
            <w:r w:rsidRPr="00681EAF">
              <w:rPr>
                <w:rFonts w:ascii="Roboto" w:hAnsi="Roboto"/>
                <w:i/>
                <w:iCs/>
                <w:sz w:val="20"/>
                <w:szCs w:val="20"/>
                <w:lang w:val="ro-MD"/>
              </w:rPr>
              <w:t>Secțiunea III</w:t>
            </w:r>
          </w:p>
          <w:p w14:paraId="0946E5AE" w14:textId="408A102B" w:rsidR="00681EAF" w:rsidRPr="00681EAF" w:rsidRDefault="00681EAF" w:rsidP="00681EAF">
            <w:pPr>
              <w:jc w:val="center"/>
              <w:rPr>
                <w:rFonts w:ascii="Roboto" w:hAnsi="Roboto"/>
                <w:i/>
                <w:iCs/>
                <w:sz w:val="20"/>
                <w:szCs w:val="20"/>
                <w:lang w:val="ro-MD"/>
              </w:rPr>
            </w:pPr>
            <w:r w:rsidRPr="00681EAF">
              <w:rPr>
                <w:rFonts w:ascii="Roboto" w:hAnsi="Roboto"/>
                <w:i/>
                <w:iCs/>
                <w:sz w:val="20"/>
                <w:szCs w:val="20"/>
                <w:lang w:val="ro-MD"/>
              </w:rPr>
              <w:t>Intervalul de timp rezonabil pentru solicitarea de către Banca Națională a Moldovei</w:t>
            </w:r>
            <w:r w:rsidR="00CC2B04">
              <w:rPr>
                <w:rFonts w:ascii="Roboto" w:hAnsi="Roboto"/>
                <w:i/>
                <w:iCs/>
                <w:sz w:val="20"/>
                <w:szCs w:val="20"/>
                <w:lang w:val="ro-MD"/>
              </w:rPr>
              <w:t>,</w:t>
            </w:r>
            <w:r w:rsidRPr="00681EAF">
              <w:rPr>
                <w:rFonts w:ascii="Roboto" w:hAnsi="Roboto"/>
                <w:i/>
                <w:iCs/>
                <w:sz w:val="20"/>
                <w:szCs w:val="20"/>
                <w:lang w:val="ro-MD"/>
              </w:rPr>
              <w:t xml:space="preserve"> în calitate de autoritate competentă și în calitate de autoritate de rezoluție, a includerii unei clauze contractuale</w:t>
            </w:r>
          </w:p>
          <w:p w14:paraId="286A4F68" w14:textId="0B9B26DA" w:rsidR="00A15F90" w:rsidRPr="00681EAF" w:rsidRDefault="00681EAF" w:rsidP="00681EAF">
            <w:pPr>
              <w:pStyle w:val="ListParagraph"/>
              <w:numPr>
                <w:ilvl w:val="0"/>
                <w:numId w:val="42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681EAF">
              <w:rPr>
                <w:rFonts w:ascii="Roboto" w:hAnsi="Roboto"/>
                <w:sz w:val="20"/>
                <w:szCs w:val="20"/>
                <w:lang w:val="ro-MD"/>
              </w:rPr>
              <w:t>Intervalul de timp rezonabil</w:t>
            </w:r>
            <w:r w:rsidR="00CC2B04">
              <w:rPr>
                <w:rFonts w:ascii="Roboto" w:hAnsi="Roboto"/>
                <w:sz w:val="20"/>
                <w:szCs w:val="20"/>
                <w:lang w:val="ro-MD"/>
              </w:rPr>
              <w:t>,</w:t>
            </w:r>
            <w:r w:rsidRPr="00681EAF">
              <w:rPr>
                <w:rFonts w:ascii="Roboto" w:hAnsi="Roboto"/>
                <w:sz w:val="20"/>
                <w:szCs w:val="20"/>
                <w:lang w:val="ro-MD"/>
              </w:rPr>
              <w:t xml:space="preserve"> menționat la art. 2111 alin. (6)–(8) din Legea nr. 232/2016, este de trei luni de la data la care Banca Națională a Moldovei, în calitate de autoritate competentă și în calitate de autoritate de rezoluție, primește notificarea menționată la art. 2111 alin. (1)–(5) din Legea nr. 232/2016.</w:t>
            </w:r>
          </w:p>
        </w:tc>
        <w:tc>
          <w:tcPr>
            <w:tcW w:w="1701" w:type="dxa"/>
          </w:tcPr>
          <w:p w14:paraId="3F25F262" w14:textId="7F0D6FF2" w:rsidR="00A15F90" w:rsidRPr="0091281E" w:rsidRDefault="00A15F90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Compatibil</w:t>
            </w:r>
          </w:p>
        </w:tc>
        <w:tc>
          <w:tcPr>
            <w:tcW w:w="1701" w:type="dxa"/>
          </w:tcPr>
          <w:p w14:paraId="5089C6DF" w14:textId="77777777" w:rsidR="00A15F90" w:rsidRPr="0091281E" w:rsidRDefault="00A15F90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</w:tr>
      <w:tr w:rsidR="00A15F90" w:rsidRPr="0091281E" w14:paraId="67C7FA1A" w14:textId="509F2CDB" w:rsidTr="0091281E">
        <w:trPr>
          <w:trHeight w:val="70"/>
        </w:trPr>
        <w:tc>
          <w:tcPr>
            <w:tcW w:w="5669" w:type="dxa"/>
          </w:tcPr>
          <w:p w14:paraId="6A2C7BBF" w14:textId="0FBBA3A5" w:rsidR="00A15F90" w:rsidRPr="0091281E" w:rsidRDefault="00A15F90" w:rsidP="00681EAF">
            <w:pPr>
              <w:pStyle w:val="ListParagraph"/>
              <w:numPr>
                <w:ilvl w:val="0"/>
                <w:numId w:val="12"/>
              </w:numPr>
              <w:ind w:left="306" w:hanging="306"/>
              <w:rPr>
                <w:rFonts w:ascii="Roboto" w:hAnsi="Roboto"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sz w:val="20"/>
                <w:szCs w:val="20"/>
                <w:lang w:val="ro-MD"/>
              </w:rPr>
              <w:t>În cazul în care notificarea menționată la articolul 55 alineatul (2) primul paragraf din Directiva 2014/59/UE este incompletă, autoritatea de rezoluție indică informațiile lipsă instituției sau entității care a efectuat notificarea. Intervalul de timp rezonabil menționat la alineatul (1) de la prezentul articol începe odată cu transmiterea tuturor informațiilor lipsă.</w:t>
            </w:r>
          </w:p>
        </w:tc>
        <w:tc>
          <w:tcPr>
            <w:tcW w:w="5669" w:type="dxa"/>
          </w:tcPr>
          <w:p w14:paraId="1FA06824" w14:textId="3ABC19E7" w:rsidR="00A15F90" w:rsidRPr="00681EAF" w:rsidRDefault="00681EAF" w:rsidP="00681EAF">
            <w:pPr>
              <w:pStyle w:val="ListParagraph"/>
              <w:numPr>
                <w:ilvl w:val="0"/>
                <w:numId w:val="44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681EAF">
              <w:rPr>
                <w:rFonts w:ascii="Roboto" w:hAnsi="Roboto"/>
                <w:sz w:val="20"/>
                <w:szCs w:val="20"/>
                <w:lang w:val="ro-MD"/>
              </w:rPr>
              <w:t>În cazul în care notificarea</w:t>
            </w:r>
            <w:r w:rsidR="00CC2B04">
              <w:rPr>
                <w:rFonts w:ascii="Roboto" w:hAnsi="Roboto"/>
                <w:sz w:val="20"/>
                <w:szCs w:val="20"/>
                <w:lang w:val="ro-MD"/>
              </w:rPr>
              <w:t>,</w:t>
            </w:r>
            <w:r w:rsidRPr="00681EAF">
              <w:rPr>
                <w:rFonts w:ascii="Roboto" w:hAnsi="Roboto"/>
                <w:sz w:val="20"/>
                <w:szCs w:val="20"/>
                <w:lang w:val="ro-MD"/>
              </w:rPr>
              <w:t xml:space="preserve"> menționată la art. 2111 alin. (1)–(5) din Legea nr. 232/2016, este incompletă, Banca Națională a Moldovei</w:t>
            </w:r>
            <w:r w:rsidR="00CC2B04">
              <w:rPr>
                <w:rFonts w:ascii="Roboto" w:hAnsi="Roboto"/>
                <w:sz w:val="20"/>
                <w:szCs w:val="20"/>
                <w:lang w:val="ro-MD"/>
              </w:rPr>
              <w:t>,</w:t>
            </w:r>
            <w:r w:rsidRPr="00681EAF">
              <w:rPr>
                <w:rFonts w:ascii="Roboto" w:hAnsi="Roboto"/>
                <w:sz w:val="20"/>
                <w:szCs w:val="20"/>
                <w:lang w:val="ro-MD"/>
              </w:rPr>
              <w:t xml:space="preserve"> în calitate de autoritate competentă și în calitate de autoritate de rezoluție, indică informațiile lipsă instituției de credit sau entității care a efectuat notificarea. Intervalul de timp rezonabil menționat la pct. 14 începe odată cu transmiterea tuturor informațiilor lipsă.</w:t>
            </w:r>
          </w:p>
        </w:tc>
        <w:tc>
          <w:tcPr>
            <w:tcW w:w="1701" w:type="dxa"/>
          </w:tcPr>
          <w:p w14:paraId="2DBEEC32" w14:textId="74C8D7AC" w:rsidR="00A15F90" w:rsidRPr="0091281E" w:rsidRDefault="00A15F90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Compatibil</w:t>
            </w:r>
          </w:p>
        </w:tc>
        <w:tc>
          <w:tcPr>
            <w:tcW w:w="1701" w:type="dxa"/>
          </w:tcPr>
          <w:p w14:paraId="0588B138" w14:textId="77777777" w:rsidR="00A15F90" w:rsidRPr="0091281E" w:rsidRDefault="00A15F90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</w:tr>
      <w:tr w:rsidR="00A15F90" w:rsidRPr="0091281E" w14:paraId="1C01D4CB" w14:textId="680354C8" w:rsidTr="0091281E">
        <w:trPr>
          <w:trHeight w:val="70"/>
        </w:trPr>
        <w:tc>
          <w:tcPr>
            <w:tcW w:w="5669" w:type="dxa"/>
          </w:tcPr>
          <w:p w14:paraId="7F7EFD98" w14:textId="77777777" w:rsidR="00A15F90" w:rsidRPr="0091281E" w:rsidRDefault="00A15F90" w:rsidP="00681EAF">
            <w:pPr>
              <w:pStyle w:val="ListParagraph"/>
              <w:numPr>
                <w:ilvl w:val="0"/>
                <w:numId w:val="12"/>
              </w:numPr>
              <w:ind w:left="306" w:hanging="306"/>
              <w:rPr>
                <w:rFonts w:ascii="Roboto" w:hAnsi="Roboto"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sz w:val="20"/>
                <w:szCs w:val="20"/>
                <w:lang w:val="ro-MD"/>
              </w:rPr>
              <w:lastRenderedPageBreak/>
              <w:t>Până la 6 octombrie 2022, dacă notificarea este complexă, autoritatea de rezoluție poate prelungi cu șase luni intervalul de timp menționat la alineatul (1).</w:t>
            </w:r>
          </w:p>
          <w:p w14:paraId="16A32A77" w14:textId="154B2960" w:rsidR="00A15F90" w:rsidRPr="0091281E" w:rsidRDefault="00A15F90" w:rsidP="00681EAF">
            <w:pPr>
              <w:pStyle w:val="ListParagraph"/>
              <w:ind w:left="306"/>
              <w:rPr>
                <w:rFonts w:ascii="Roboto" w:hAnsi="Roboto"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sz w:val="20"/>
                <w:szCs w:val="20"/>
                <w:lang w:val="ro-MD"/>
              </w:rPr>
              <w:t>Începând de la 7 octombrie 2022, dacă notificarea este complexă, autoritatea de rezoluție poate prelungi cu trei luni intervalul de timp menționat la alineatul (1).</w:t>
            </w:r>
          </w:p>
        </w:tc>
        <w:tc>
          <w:tcPr>
            <w:tcW w:w="5669" w:type="dxa"/>
          </w:tcPr>
          <w:p w14:paraId="111CE174" w14:textId="5D3A93B9" w:rsidR="00A15F90" w:rsidRPr="00681EAF" w:rsidRDefault="00681EAF" w:rsidP="00681EAF">
            <w:pPr>
              <w:pStyle w:val="ListParagraph"/>
              <w:numPr>
                <w:ilvl w:val="0"/>
                <w:numId w:val="46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681EAF">
              <w:rPr>
                <w:rFonts w:ascii="Roboto" w:hAnsi="Roboto"/>
                <w:sz w:val="20"/>
                <w:szCs w:val="20"/>
                <w:lang w:val="ro-MD"/>
              </w:rPr>
              <w:t>Dacă notificarea este complexă, Banca Națională a Moldovei</w:t>
            </w:r>
            <w:r w:rsidR="00CC2B04">
              <w:rPr>
                <w:rFonts w:ascii="Roboto" w:hAnsi="Roboto"/>
                <w:sz w:val="20"/>
                <w:szCs w:val="20"/>
                <w:lang w:val="ro-MD"/>
              </w:rPr>
              <w:t>,</w:t>
            </w:r>
            <w:r w:rsidRPr="00681EAF">
              <w:rPr>
                <w:rFonts w:ascii="Roboto" w:hAnsi="Roboto"/>
                <w:sz w:val="20"/>
                <w:szCs w:val="20"/>
                <w:lang w:val="ro-MD"/>
              </w:rPr>
              <w:t xml:space="preserve"> în calitate de autoritate competentă și în calitate de autoritate de rezoluție, poate prelungi cu trei luni intervalul de timp menționat la pct. 14.</w:t>
            </w:r>
          </w:p>
        </w:tc>
        <w:tc>
          <w:tcPr>
            <w:tcW w:w="1701" w:type="dxa"/>
          </w:tcPr>
          <w:p w14:paraId="65826BA0" w14:textId="031892B8" w:rsidR="00A15F90" w:rsidRPr="0091281E" w:rsidRDefault="00A15F90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Compatibil</w:t>
            </w:r>
          </w:p>
        </w:tc>
        <w:tc>
          <w:tcPr>
            <w:tcW w:w="1701" w:type="dxa"/>
          </w:tcPr>
          <w:p w14:paraId="62D879A3" w14:textId="77777777" w:rsidR="00A15F90" w:rsidRPr="0091281E" w:rsidRDefault="00A15F90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</w:tr>
      <w:tr w:rsidR="00A15F90" w:rsidRPr="0091281E" w14:paraId="75C12675" w14:textId="25BF3B28" w:rsidTr="0091281E">
        <w:trPr>
          <w:trHeight w:val="70"/>
        </w:trPr>
        <w:tc>
          <w:tcPr>
            <w:tcW w:w="5669" w:type="dxa"/>
          </w:tcPr>
          <w:p w14:paraId="230AC73A" w14:textId="5784EFD7" w:rsidR="00A15F90" w:rsidRPr="0091281E" w:rsidRDefault="00A15F90" w:rsidP="00681EAF">
            <w:pPr>
              <w:pStyle w:val="ListParagraph"/>
              <w:numPr>
                <w:ilvl w:val="0"/>
                <w:numId w:val="12"/>
              </w:numPr>
              <w:ind w:left="306" w:hanging="306"/>
              <w:rPr>
                <w:rFonts w:ascii="Roboto" w:hAnsi="Roboto"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sz w:val="20"/>
                <w:szCs w:val="20"/>
                <w:lang w:val="ro-MD"/>
              </w:rPr>
              <w:t>Autoritatea de rezoluție informează instituția sau entitatea care a efectuat notificarea cu privire la prelungire și la motivele acesteia.</w:t>
            </w:r>
          </w:p>
        </w:tc>
        <w:tc>
          <w:tcPr>
            <w:tcW w:w="5669" w:type="dxa"/>
          </w:tcPr>
          <w:p w14:paraId="12EEFF34" w14:textId="2B42141F" w:rsidR="00A15F90" w:rsidRPr="00681EAF" w:rsidRDefault="00681EAF" w:rsidP="00681EAF">
            <w:pPr>
              <w:pStyle w:val="ListParagraph"/>
              <w:numPr>
                <w:ilvl w:val="0"/>
                <w:numId w:val="48"/>
              </w:numPr>
              <w:ind w:left="322" w:hanging="322"/>
              <w:rPr>
                <w:rFonts w:ascii="Roboto" w:hAnsi="Roboto"/>
                <w:sz w:val="20"/>
                <w:szCs w:val="20"/>
                <w:lang w:val="ro-MD"/>
              </w:rPr>
            </w:pPr>
            <w:r w:rsidRPr="00681EAF">
              <w:rPr>
                <w:rFonts w:ascii="Roboto" w:hAnsi="Roboto"/>
                <w:sz w:val="20"/>
                <w:szCs w:val="20"/>
                <w:lang w:val="ro-MD"/>
              </w:rPr>
              <w:t>Banca Națională a Moldovei</w:t>
            </w:r>
            <w:r w:rsidR="00CC2B04">
              <w:rPr>
                <w:rFonts w:ascii="Roboto" w:hAnsi="Roboto"/>
                <w:sz w:val="20"/>
                <w:szCs w:val="20"/>
                <w:lang w:val="ro-MD"/>
              </w:rPr>
              <w:t>,</w:t>
            </w:r>
            <w:r w:rsidRPr="00681EAF">
              <w:rPr>
                <w:rFonts w:ascii="Roboto" w:hAnsi="Roboto"/>
                <w:sz w:val="20"/>
                <w:szCs w:val="20"/>
                <w:lang w:val="ro-MD"/>
              </w:rPr>
              <w:t xml:space="preserve"> în calitate de autoritate competentă și în calitate de autoritate de rezoluție, informează instituția de credit sau entitatea care a efectuat notificarea cu privire la prelungire și la motivele acesteia</w:t>
            </w:r>
            <w:r>
              <w:rPr>
                <w:rFonts w:ascii="Roboto" w:hAnsi="Roboto"/>
                <w:sz w:val="20"/>
                <w:szCs w:val="20"/>
                <w:lang w:val="ro-MD"/>
              </w:rPr>
              <w:t>.</w:t>
            </w:r>
          </w:p>
        </w:tc>
        <w:tc>
          <w:tcPr>
            <w:tcW w:w="1701" w:type="dxa"/>
          </w:tcPr>
          <w:p w14:paraId="43461D00" w14:textId="4E6D5F03" w:rsidR="00A15F90" w:rsidRPr="0091281E" w:rsidRDefault="00A15F90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Compatibil</w:t>
            </w:r>
          </w:p>
        </w:tc>
        <w:tc>
          <w:tcPr>
            <w:tcW w:w="1701" w:type="dxa"/>
          </w:tcPr>
          <w:p w14:paraId="344D3850" w14:textId="77777777" w:rsidR="00A15F90" w:rsidRPr="0091281E" w:rsidRDefault="00A15F90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</w:tr>
      <w:tr w:rsidR="00A15F90" w:rsidRPr="0091281E" w14:paraId="6314E81E" w14:textId="1176132E" w:rsidTr="0091281E">
        <w:trPr>
          <w:trHeight w:val="70"/>
        </w:trPr>
        <w:tc>
          <w:tcPr>
            <w:tcW w:w="5669" w:type="dxa"/>
          </w:tcPr>
          <w:p w14:paraId="659EF22F" w14:textId="77777777" w:rsidR="00A15F90" w:rsidRPr="0091281E" w:rsidRDefault="00A15F90" w:rsidP="00A15F90">
            <w:pPr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91281E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Articolul 4 – Intrarea în vigoare</w:t>
            </w:r>
          </w:p>
          <w:p w14:paraId="0372CD91" w14:textId="76664429" w:rsidR="00A15F90" w:rsidRPr="0091281E" w:rsidRDefault="00A15F90" w:rsidP="00681EAF">
            <w:pPr>
              <w:ind w:left="306"/>
              <w:rPr>
                <w:rFonts w:ascii="Roboto" w:hAnsi="Roboto"/>
                <w:sz w:val="20"/>
                <w:szCs w:val="20"/>
                <w:lang w:val="ro-MD"/>
              </w:rPr>
            </w:pP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Prezentul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regulament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intră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în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vigoare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în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douăzecea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zi de la data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publicării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în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Jurnalul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Oficial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Uniunii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Europene</w:t>
            </w:r>
            <w:proofErr w:type="spellEnd"/>
            <w:r w:rsidRPr="0091281E">
              <w:rPr>
                <w:rFonts w:ascii="Roboto" w:hAnsi="Roboto"/>
                <w:sz w:val="20"/>
                <w:szCs w:val="20"/>
                <w:lang w:val="en-US"/>
              </w:rPr>
              <w:t>.</w:t>
            </w:r>
          </w:p>
        </w:tc>
        <w:tc>
          <w:tcPr>
            <w:tcW w:w="5669" w:type="dxa"/>
          </w:tcPr>
          <w:p w14:paraId="7C1F97F1" w14:textId="1B3207F2" w:rsidR="00A15F90" w:rsidRPr="00681EAF" w:rsidRDefault="00681EAF" w:rsidP="00681EAF">
            <w:pPr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  <w:r w:rsidRPr="00681EAF"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  <w:t>-</w:t>
            </w:r>
          </w:p>
        </w:tc>
        <w:tc>
          <w:tcPr>
            <w:tcW w:w="1701" w:type="dxa"/>
          </w:tcPr>
          <w:p w14:paraId="11E5085D" w14:textId="6967823D" w:rsidR="00A15F90" w:rsidRPr="0091281E" w:rsidRDefault="00A15F90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  <w:tc>
          <w:tcPr>
            <w:tcW w:w="1701" w:type="dxa"/>
          </w:tcPr>
          <w:p w14:paraId="79CA9570" w14:textId="77777777" w:rsidR="00A15F90" w:rsidRPr="0091281E" w:rsidRDefault="00A15F90" w:rsidP="00A15F90">
            <w:pPr>
              <w:jc w:val="center"/>
              <w:rPr>
                <w:rFonts w:ascii="Roboto" w:hAnsi="Roboto"/>
                <w:b/>
                <w:bCs/>
                <w:sz w:val="20"/>
                <w:szCs w:val="20"/>
                <w:lang w:val="ro-MD"/>
              </w:rPr>
            </w:pPr>
          </w:p>
        </w:tc>
      </w:tr>
    </w:tbl>
    <w:p w14:paraId="064935E5" w14:textId="77777777" w:rsidR="009E602F" w:rsidRPr="0091281E" w:rsidRDefault="009E602F" w:rsidP="00A801EB">
      <w:pPr>
        <w:spacing w:after="0"/>
        <w:rPr>
          <w:rFonts w:ascii="Roboto" w:hAnsi="Roboto"/>
          <w:sz w:val="20"/>
          <w:szCs w:val="20"/>
          <w:lang w:val="ro-MD"/>
        </w:rPr>
      </w:pPr>
    </w:p>
    <w:sectPr w:rsidR="009E602F" w:rsidRPr="0091281E" w:rsidSect="00A801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851" w:right="962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87645" w14:textId="77777777" w:rsidR="00A801EB" w:rsidRDefault="00A801EB" w:rsidP="00A801EB">
      <w:pPr>
        <w:spacing w:after="0"/>
      </w:pPr>
      <w:r>
        <w:separator/>
      </w:r>
    </w:p>
  </w:endnote>
  <w:endnote w:type="continuationSeparator" w:id="0">
    <w:p w14:paraId="1DE509B1" w14:textId="77777777" w:rsidR="00A801EB" w:rsidRDefault="00A801EB" w:rsidP="00A801E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987BD" w14:textId="6DFBB005" w:rsidR="00A801EB" w:rsidRDefault="00A801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AB295" w14:textId="05B78F28" w:rsidR="00A801EB" w:rsidRDefault="00A801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3F073" w14:textId="6926848A" w:rsidR="00A801EB" w:rsidRDefault="00A801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CECC0" w14:textId="77777777" w:rsidR="00A801EB" w:rsidRDefault="00A801EB" w:rsidP="00A801EB">
      <w:pPr>
        <w:spacing w:after="0"/>
      </w:pPr>
      <w:r>
        <w:separator/>
      </w:r>
    </w:p>
  </w:footnote>
  <w:footnote w:type="continuationSeparator" w:id="0">
    <w:p w14:paraId="0A78C587" w14:textId="77777777" w:rsidR="00A801EB" w:rsidRDefault="00A801EB" w:rsidP="00A801E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6FD86" w14:textId="76E2781A" w:rsidR="00A801EB" w:rsidRDefault="00A801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29697" w14:textId="0EC356B8" w:rsidR="00A801EB" w:rsidRDefault="00A801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BB6C1" w14:textId="3D7A0FF7" w:rsidR="00A801EB" w:rsidRDefault="00A801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3AC2"/>
    <w:multiLevelType w:val="hybridMultilevel"/>
    <w:tmpl w:val="97BA1EB0"/>
    <w:lvl w:ilvl="0" w:tplc="BE567FEE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11568"/>
    <w:multiLevelType w:val="hybridMultilevel"/>
    <w:tmpl w:val="EA8C8A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016A4"/>
    <w:multiLevelType w:val="hybridMultilevel"/>
    <w:tmpl w:val="7D5A4DFC"/>
    <w:lvl w:ilvl="0" w:tplc="0418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BD1003"/>
    <w:multiLevelType w:val="hybridMultilevel"/>
    <w:tmpl w:val="4914007C"/>
    <w:lvl w:ilvl="0" w:tplc="E53858DC">
      <w:start w:val="1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47261"/>
    <w:multiLevelType w:val="hybridMultilevel"/>
    <w:tmpl w:val="A8BA978A"/>
    <w:lvl w:ilvl="0" w:tplc="1D9AE6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AA5C71"/>
    <w:multiLevelType w:val="hybridMultilevel"/>
    <w:tmpl w:val="3A3ECF88"/>
    <w:lvl w:ilvl="0" w:tplc="0418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9F23410"/>
    <w:multiLevelType w:val="hybridMultilevel"/>
    <w:tmpl w:val="31D6340E"/>
    <w:lvl w:ilvl="0" w:tplc="8A5E9878">
      <w:start w:val="1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F0321"/>
    <w:multiLevelType w:val="hybridMultilevel"/>
    <w:tmpl w:val="CB1C889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C25D8"/>
    <w:multiLevelType w:val="hybridMultilevel"/>
    <w:tmpl w:val="FE3853B8"/>
    <w:lvl w:ilvl="0" w:tplc="1D9AE6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93A41"/>
    <w:multiLevelType w:val="hybridMultilevel"/>
    <w:tmpl w:val="5EB4AF84"/>
    <w:lvl w:ilvl="0" w:tplc="0418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C867B5F"/>
    <w:multiLevelType w:val="hybridMultilevel"/>
    <w:tmpl w:val="46B4CB6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57F30"/>
    <w:multiLevelType w:val="hybridMultilevel"/>
    <w:tmpl w:val="47C48AEC"/>
    <w:lvl w:ilvl="0" w:tplc="1A10171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A233C"/>
    <w:multiLevelType w:val="hybridMultilevel"/>
    <w:tmpl w:val="C8CCAF2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D04E13"/>
    <w:multiLevelType w:val="hybridMultilevel"/>
    <w:tmpl w:val="523656D6"/>
    <w:lvl w:ilvl="0" w:tplc="C64CDBD8">
      <w:start w:val="9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435238"/>
    <w:multiLevelType w:val="hybridMultilevel"/>
    <w:tmpl w:val="F542AADC"/>
    <w:lvl w:ilvl="0" w:tplc="F3D82CE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D4727BD"/>
    <w:multiLevelType w:val="hybridMultilevel"/>
    <w:tmpl w:val="6CD0C9E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65749E"/>
    <w:multiLevelType w:val="hybridMultilevel"/>
    <w:tmpl w:val="2FE4BFD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1A5E96"/>
    <w:multiLevelType w:val="hybridMultilevel"/>
    <w:tmpl w:val="40788BF8"/>
    <w:lvl w:ilvl="0" w:tplc="47E6BA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1D752D"/>
    <w:multiLevelType w:val="hybridMultilevel"/>
    <w:tmpl w:val="A7B68FF8"/>
    <w:lvl w:ilvl="0" w:tplc="F3D82CE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7697D75"/>
    <w:multiLevelType w:val="hybridMultilevel"/>
    <w:tmpl w:val="9988624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B6534A"/>
    <w:multiLevelType w:val="hybridMultilevel"/>
    <w:tmpl w:val="1D989FEC"/>
    <w:lvl w:ilvl="0" w:tplc="1D9AE6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C17C7A"/>
    <w:multiLevelType w:val="hybridMultilevel"/>
    <w:tmpl w:val="8408926C"/>
    <w:lvl w:ilvl="0" w:tplc="F3D82CE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AAF08A9"/>
    <w:multiLevelType w:val="multilevel"/>
    <w:tmpl w:val="BF780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3BBC511C"/>
    <w:multiLevelType w:val="hybridMultilevel"/>
    <w:tmpl w:val="B324F63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7220F5"/>
    <w:multiLevelType w:val="hybridMultilevel"/>
    <w:tmpl w:val="06820C10"/>
    <w:lvl w:ilvl="0" w:tplc="1A10171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A410F0"/>
    <w:multiLevelType w:val="hybridMultilevel"/>
    <w:tmpl w:val="04626D86"/>
    <w:lvl w:ilvl="0" w:tplc="1A10171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1B081C"/>
    <w:multiLevelType w:val="hybridMultilevel"/>
    <w:tmpl w:val="A308D210"/>
    <w:lvl w:ilvl="0" w:tplc="1D9AE6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9F2FF3"/>
    <w:multiLevelType w:val="hybridMultilevel"/>
    <w:tmpl w:val="618CA2E6"/>
    <w:lvl w:ilvl="0" w:tplc="1D9AE6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D07D7C"/>
    <w:multiLevelType w:val="hybridMultilevel"/>
    <w:tmpl w:val="BF92E846"/>
    <w:lvl w:ilvl="0" w:tplc="1D9AE6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D0063F"/>
    <w:multiLevelType w:val="hybridMultilevel"/>
    <w:tmpl w:val="D9E83C80"/>
    <w:lvl w:ilvl="0" w:tplc="F3D82CE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1167B50"/>
    <w:multiLevelType w:val="hybridMultilevel"/>
    <w:tmpl w:val="ADE6E8CE"/>
    <w:lvl w:ilvl="0" w:tplc="F3D82CE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48528F6"/>
    <w:multiLevelType w:val="hybridMultilevel"/>
    <w:tmpl w:val="3C0CF2E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A67663"/>
    <w:multiLevelType w:val="hybridMultilevel"/>
    <w:tmpl w:val="F184E74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701EE7"/>
    <w:multiLevelType w:val="hybridMultilevel"/>
    <w:tmpl w:val="A7B688F8"/>
    <w:lvl w:ilvl="0" w:tplc="F3D82CE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D320341"/>
    <w:multiLevelType w:val="hybridMultilevel"/>
    <w:tmpl w:val="1B20FAD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324B63"/>
    <w:multiLevelType w:val="hybridMultilevel"/>
    <w:tmpl w:val="7C986342"/>
    <w:lvl w:ilvl="0" w:tplc="642C6BC4">
      <w:start w:val="1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815755"/>
    <w:multiLevelType w:val="hybridMultilevel"/>
    <w:tmpl w:val="4D6EE9C0"/>
    <w:lvl w:ilvl="0" w:tplc="1D9AE6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B7146E"/>
    <w:multiLevelType w:val="hybridMultilevel"/>
    <w:tmpl w:val="7B0C0C32"/>
    <w:lvl w:ilvl="0" w:tplc="2264A8DA">
      <w:start w:val="1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5F579C"/>
    <w:multiLevelType w:val="hybridMultilevel"/>
    <w:tmpl w:val="C7105D2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B16671"/>
    <w:multiLevelType w:val="hybridMultilevel"/>
    <w:tmpl w:val="8F183852"/>
    <w:lvl w:ilvl="0" w:tplc="013833C2">
      <w:start w:val="1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046342"/>
    <w:multiLevelType w:val="hybridMultilevel"/>
    <w:tmpl w:val="6E7853D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D55104"/>
    <w:multiLevelType w:val="hybridMultilevel"/>
    <w:tmpl w:val="83EC63D6"/>
    <w:lvl w:ilvl="0" w:tplc="1D9AE6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5D1932"/>
    <w:multiLevelType w:val="hybridMultilevel"/>
    <w:tmpl w:val="854E752C"/>
    <w:lvl w:ilvl="0" w:tplc="F3D82CE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C9708DA"/>
    <w:multiLevelType w:val="hybridMultilevel"/>
    <w:tmpl w:val="8EEEBFD4"/>
    <w:lvl w:ilvl="0" w:tplc="F3D82CE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CB44DD7"/>
    <w:multiLevelType w:val="hybridMultilevel"/>
    <w:tmpl w:val="C87007AE"/>
    <w:lvl w:ilvl="0" w:tplc="1D9AE6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D712D9"/>
    <w:multiLevelType w:val="hybridMultilevel"/>
    <w:tmpl w:val="06F06402"/>
    <w:lvl w:ilvl="0" w:tplc="13B205D2">
      <w:start w:val="1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F747AC"/>
    <w:multiLevelType w:val="hybridMultilevel"/>
    <w:tmpl w:val="164CBC0E"/>
    <w:lvl w:ilvl="0" w:tplc="F3D82CE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F942289"/>
    <w:multiLevelType w:val="hybridMultilevel"/>
    <w:tmpl w:val="AE8A5C12"/>
    <w:lvl w:ilvl="0" w:tplc="7C928CC6">
      <w:start w:val="1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773935">
    <w:abstractNumId w:val="17"/>
  </w:num>
  <w:num w:numId="2" w16cid:durableId="1065883317">
    <w:abstractNumId w:val="36"/>
  </w:num>
  <w:num w:numId="3" w16cid:durableId="1808353432">
    <w:abstractNumId w:val="18"/>
  </w:num>
  <w:num w:numId="4" w16cid:durableId="1079719341">
    <w:abstractNumId w:val="41"/>
  </w:num>
  <w:num w:numId="5" w16cid:durableId="473640650">
    <w:abstractNumId w:val="21"/>
  </w:num>
  <w:num w:numId="6" w16cid:durableId="85347539">
    <w:abstractNumId w:val="43"/>
  </w:num>
  <w:num w:numId="7" w16cid:durableId="869301647">
    <w:abstractNumId w:val="8"/>
  </w:num>
  <w:num w:numId="8" w16cid:durableId="682055842">
    <w:abstractNumId w:val="42"/>
  </w:num>
  <w:num w:numId="9" w16cid:durableId="1333946226">
    <w:abstractNumId w:val="26"/>
  </w:num>
  <w:num w:numId="10" w16cid:durableId="1837568307">
    <w:abstractNumId w:val="46"/>
  </w:num>
  <w:num w:numId="11" w16cid:durableId="735011700">
    <w:abstractNumId w:val="14"/>
  </w:num>
  <w:num w:numId="12" w16cid:durableId="618682386">
    <w:abstractNumId w:val="44"/>
  </w:num>
  <w:num w:numId="13" w16cid:durableId="1364481351">
    <w:abstractNumId w:val="27"/>
  </w:num>
  <w:num w:numId="14" w16cid:durableId="1063718025">
    <w:abstractNumId w:val="4"/>
  </w:num>
  <w:num w:numId="15" w16cid:durableId="1461916164">
    <w:abstractNumId w:val="30"/>
  </w:num>
  <w:num w:numId="16" w16cid:durableId="361978217">
    <w:abstractNumId w:val="28"/>
  </w:num>
  <w:num w:numId="17" w16cid:durableId="1740666930">
    <w:abstractNumId w:val="33"/>
  </w:num>
  <w:num w:numId="18" w16cid:durableId="2101100172">
    <w:abstractNumId w:val="29"/>
  </w:num>
  <w:num w:numId="19" w16cid:durableId="199899874">
    <w:abstractNumId w:val="20"/>
  </w:num>
  <w:num w:numId="20" w16cid:durableId="1868056752">
    <w:abstractNumId w:val="22"/>
  </w:num>
  <w:num w:numId="21" w16cid:durableId="1384870866">
    <w:abstractNumId w:val="7"/>
  </w:num>
  <w:num w:numId="22" w16cid:durableId="897664437">
    <w:abstractNumId w:val="2"/>
  </w:num>
  <w:num w:numId="23" w16cid:durableId="575166719">
    <w:abstractNumId w:val="38"/>
  </w:num>
  <w:num w:numId="24" w16cid:durableId="124590441">
    <w:abstractNumId w:val="9"/>
  </w:num>
  <w:num w:numId="25" w16cid:durableId="466363233">
    <w:abstractNumId w:val="5"/>
  </w:num>
  <w:num w:numId="26" w16cid:durableId="342971778">
    <w:abstractNumId w:val="10"/>
  </w:num>
  <w:num w:numId="27" w16cid:durableId="1114865032">
    <w:abstractNumId w:val="12"/>
  </w:num>
  <w:num w:numId="28" w16cid:durableId="75058982">
    <w:abstractNumId w:val="15"/>
  </w:num>
  <w:num w:numId="29" w16cid:durableId="1800873366">
    <w:abstractNumId w:val="13"/>
  </w:num>
  <w:num w:numId="30" w16cid:durableId="493302054">
    <w:abstractNumId w:val="24"/>
  </w:num>
  <w:num w:numId="31" w16cid:durableId="1772969861">
    <w:abstractNumId w:val="19"/>
  </w:num>
  <w:num w:numId="32" w16cid:durableId="339089882">
    <w:abstractNumId w:val="0"/>
  </w:num>
  <w:num w:numId="33" w16cid:durableId="330529408">
    <w:abstractNumId w:val="32"/>
  </w:num>
  <w:num w:numId="34" w16cid:durableId="187178135">
    <w:abstractNumId w:val="47"/>
  </w:num>
  <w:num w:numId="35" w16cid:durableId="1073158469">
    <w:abstractNumId w:val="11"/>
  </w:num>
  <w:num w:numId="36" w16cid:durableId="997152054">
    <w:abstractNumId w:val="16"/>
  </w:num>
  <w:num w:numId="37" w16cid:durableId="306057726">
    <w:abstractNumId w:val="39"/>
  </w:num>
  <w:num w:numId="38" w16cid:durableId="1296521473">
    <w:abstractNumId w:val="31"/>
  </w:num>
  <w:num w:numId="39" w16cid:durableId="240214184">
    <w:abstractNumId w:val="35"/>
  </w:num>
  <w:num w:numId="40" w16cid:durableId="1302230976">
    <w:abstractNumId w:val="25"/>
  </w:num>
  <w:num w:numId="41" w16cid:durableId="1060984343">
    <w:abstractNumId w:val="40"/>
  </w:num>
  <w:num w:numId="42" w16cid:durableId="705525674">
    <w:abstractNumId w:val="45"/>
  </w:num>
  <w:num w:numId="43" w16cid:durableId="378630637">
    <w:abstractNumId w:val="34"/>
  </w:num>
  <w:num w:numId="44" w16cid:durableId="294140210">
    <w:abstractNumId w:val="3"/>
  </w:num>
  <w:num w:numId="45" w16cid:durableId="1799684916">
    <w:abstractNumId w:val="1"/>
  </w:num>
  <w:num w:numId="46" w16cid:durableId="169956407">
    <w:abstractNumId w:val="6"/>
  </w:num>
  <w:num w:numId="47" w16cid:durableId="582882493">
    <w:abstractNumId w:val="23"/>
  </w:num>
  <w:num w:numId="48" w16cid:durableId="299381945">
    <w:abstractNumId w:val="3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AE9"/>
    <w:rsid w:val="00017B1D"/>
    <w:rsid w:val="00062AE9"/>
    <w:rsid w:val="00064515"/>
    <w:rsid w:val="00071E4D"/>
    <w:rsid w:val="00081A8C"/>
    <w:rsid w:val="000F431F"/>
    <w:rsid w:val="0016452B"/>
    <w:rsid w:val="0019153B"/>
    <w:rsid w:val="00196218"/>
    <w:rsid w:val="001B4FF7"/>
    <w:rsid w:val="001C60C7"/>
    <w:rsid w:val="00225471"/>
    <w:rsid w:val="002332BB"/>
    <w:rsid w:val="00250A91"/>
    <w:rsid w:val="002913D1"/>
    <w:rsid w:val="002A5E82"/>
    <w:rsid w:val="003268BC"/>
    <w:rsid w:val="00377A70"/>
    <w:rsid w:val="004A35D0"/>
    <w:rsid w:val="004F32EA"/>
    <w:rsid w:val="00532857"/>
    <w:rsid w:val="005D1338"/>
    <w:rsid w:val="005F1FAF"/>
    <w:rsid w:val="006025B4"/>
    <w:rsid w:val="00616F9B"/>
    <w:rsid w:val="0066185D"/>
    <w:rsid w:val="0068121C"/>
    <w:rsid w:val="00681EAF"/>
    <w:rsid w:val="006C0B77"/>
    <w:rsid w:val="00795F8E"/>
    <w:rsid w:val="007B675B"/>
    <w:rsid w:val="007D146B"/>
    <w:rsid w:val="00822AC2"/>
    <w:rsid w:val="008242FF"/>
    <w:rsid w:val="00846AAA"/>
    <w:rsid w:val="00870751"/>
    <w:rsid w:val="008974F6"/>
    <w:rsid w:val="008B32ED"/>
    <w:rsid w:val="0091281E"/>
    <w:rsid w:val="00922C48"/>
    <w:rsid w:val="0094571A"/>
    <w:rsid w:val="00966F12"/>
    <w:rsid w:val="00985E0C"/>
    <w:rsid w:val="009E602F"/>
    <w:rsid w:val="00A15F90"/>
    <w:rsid w:val="00A21A4E"/>
    <w:rsid w:val="00A228E8"/>
    <w:rsid w:val="00A801EB"/>
    <w:rsid w:val="00A83FD9"/>
    <w:rsid w:val="00B079F7"/>
    <w:rsid w:val="00B671FE"/>
    <w:rsid w:val="00B915B7"/>
    <w:rsid w:val="00BB221A"/>
    <w:rsid w:val="00BD2422"/>
    <w:rsid w:val="00CB66A3"/>
    <w:rsid w:val="00CC103C"/>
    <w:rsid w:val="00CC2B04"/>
    <w:rsid w:val="00D47437"/>
    <w:rsid w:val="00D74129"/>
    <w:rsid w:val="00D90E1D"/>
    <w:rsid w:val="00DD628E"/>
    <w:rsid w:val="00E03319"/>
    <w:rsid w:val="00E606EE"/>
    <w:rsid w:val="00EA59DF"/>
    <w:rsid w:val="00EE11A8"/>
    <w:rsid w:val="00EE4070"/>
    <w:rsid w:val="00EF3961"/>
    <w:rsid w:val="00F12C76"/>
    <w:rsid w:val="00F8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DFA0ABC"/>
  <w15:chartTrackingRefBased/>
  <w15:docId w15:val="{2AC26DF3-35F1-47BA-81B0-E88430B7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01EB"/>
    <w:pPr>
      <w:tabs>
        <w:tab w:val="center" w:pos="4677"/>
        <w:tab w:val="right" w:pos="9355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801EB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A801EB"/>
    <w:pPr>
      <w:tabs>
        <w:tab w:val="center" w:pos="4677"/>
        <w:tab w:val="right" w:pos="9355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801EB"/>
    <w:rPr>
      <w:rFonts w:ascii="Times New Roman" w:hAnsi="Times New Roman"/>
      <w:sz w:val="28"/>
    </w:rPr>
  </w:style>
  <w:style w:type="table" w:styleId="TableGrid">
    <w:name w:val="Table Grid"/>
    <w:basedOn w:val="TableNormal"/>
    <w:uiPriority w:val="39"/>
    <w:rsid w:val="00A80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801EB"/>
    <w:pPr>
      <w:ind w:left="720"/>
      <w:contextualSpacing/>
    </w:pPr>
  </w:style>
  <w:style w:type="paragraph" w:customStyle="1" w:styleId="Default">
    <w:name w:val="Default"/>
    <w:rsid w:val="00A21A4E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  <w:lang w:val="ro-RO"/>
    </w:rPr>
  </w:style>
  <w:style w:type="paragraph" w:styleId="Revision">
    <w:name w:val="Revision"/>
    <w:hidden/>
    <w:uiPriority w:val="99"/>
    <w:semiHidden/>
    <w:rsid w:val="00DD628E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oj-italic">
    <w:name w:val="oj-italic"/>
    <w:basedOn w:val="DefaultParagraphFont"/>
    <w:rsid w:val="00616F9B"/>
  </w:style>
  <w:style w:type="character" w:styleId="CommentReference">
    <w:name w:val="annotation reference"/>
    <w:basedOn w:val="DefaultParagraphFont"/>
    <w:uiPriority w:val="99"/>
    <w:unhideWhenUsed/>
    <w:rsid w:val="005D13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1338"/>
    <w:rPr>
      <w:rFonts w:asciiTheme="minorHAnsi" w:hAnsiTheme="minorHAnsi"/>
      <w:kern w:val="2"/>
      <w:sz w:val="20"/>
      <w:szCs w:val="20"/>
      <w:lang w:val="ro-RO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1338"/>
    <w:rPr>
      <w:kern w:val="2"/>
      <w:sz w:val="20"/>
      <w:szCs w:val="20"/>
      <w:lang w:val="ro-RO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9D2"/>
    <w:rPr>
      <w:rFonts w:ascii="Times New Roman" w:hAnsi="Times New Roman"/>
      <w:b/>
      <w:bCs/>
      <w:kern w:val="0"/>
      <w:lang w:val="ru-RU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9D2"/>
    <w:rPr>
      <w:rFonts w:ascii="Times New Roman" w:hAnsi="Times New Roman"/>
      <w:b/>
      <w:bCs/>
      <w:kern w:val="2"/>
      <w:sz w:val="20"/>
      <w:szCs w:val="20"/>
      <w:lang w:val="ro-RO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9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theme/theme1.xml><?xml version="1.0" encoding="utf-8"?>
<a:theme xmlns:a="http://schemas.openxmlformats.org/drawingml/2006/main" name="Тема Office">
  <a:themeElements>
    <a:clrScheme name="Colors_New">
      <a:dk1>
        <a:srgbClr val="404759"/>
      </a:dk1>
      <a:lt1>
        <a:srgbClr val="EAE8E3"/>
      </a:lt1>
      <a:dk2>
        <a:srgbClr val="7C8A9D"/>
      </a:dk2>
      <a:lt2>
        <a:srgbClr val="FFFFFF"/>
      </a:lt2>
      <a:accent1>
        <a:srgbClr val="FDCD9F"/>
      </a:accent1>
      <a:accent2>
        <a:srgbClr val="FFEEA1"/>
      </a:accent2>
      <a:accent3>
        <a:srgbClr val="2A417C"/>
      </a:accent3>
      <a:accent4>
        <a:srgbClr val="A19E92"/>
      </a:accent4>
      <a:accent5>
        <a:srgbClr val="D3C6A2"/>
      </a:accent5>
      <a:accent6>
        <a:srgbClr val="F5F4F0"/>
      </a:accent6>
      <a:hlink>
        <a:srgbClr val="467886"/>
      </a:hlink>
      <a:folHlink>
        <a:srgbClr val="96607D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DAB90-229A-460A-931A-986E030D3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2109</Words>
  <Characters>12236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Banca Nationala a Moldovei</Company>
  <LinksUpToDate>false</LinksUpToDate>
  <CharactersWithSpaces>14317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2026-05-13T09:59:00Z</dcterms:created>
  <dcterms:modified xsi:type="dcterms:W3CDTF">2026-10-30T13:05:00Z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962dcf-d39f-4edc-a396-338a56ba9170_Enabled">
    <vt:lpwstr>true</vt:lpwstr>
  </property>
  <property fmtid="{D5CDD505-2E9C-101B-9397-08002B2CF9AE}" pid="3" name="MSIP_Label_38962dcf-d39f-4edc-a396-338a56ba9170_SetDate">
    <vt:lpwstr>2026-05-13T13:16:16Z</vt:lpwstr>
  </property>
  <property fmtid="{D5CDD505-2E9C-101B-9397-08002B2CF9AE}" pid="4" name="MSIP_Label_38962dcf-d39f-4edc-a396-338a56ba9170_Method">
    <vt:lpwstr>Privileged</vt:lpwstr>
  </property>
  <property fmtid="{D5CDD505-2E9C-101B-9397-08002B2CF9AE}" pid="5" name="MSIP_Label_38962dcf-d39f-4edc-a396-338a56ba9170_Name">
    <vt:lpwstr>NONE</vt:lpwstr>
  </property>
  <property fmtid="{D5CDD505-2E9C-101B-9397-08002B2CF9AE}" pid="6" name="MSIP_Label_38962dcf-d39f-4edc-a396-338a56ba9170_SiteId">
    <vt:lpwstr>5887d430-0034-4561-b771-12c77faf2fa0</vt:lpwstr>
  </property>
  <property fmtid="{D5CDD505-2E9C-101B-9397-08002B2CF9AE}" pid="7" name="MSIP_Label_38962dcf-d39f-4edc-a396-338a56ba9170_ActionId">
    <vt:lpwstr>09db03f7-4324-4d10-a7e0-6aa8271b1eb6</vt:lpwstr>
  </property>
  <property fmtid="{D5CDD505-2E9C-101B-9397-08002B2CF9AE}" pid="8" name="MSIP_Label_38962dcf-d39f-4edc-a396-338a56ba9170_ContentBits">
    <vt:lpwstr>0</vt:lpwstr>
  </property>
</Properties>
</file>